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四川省向家坝灌区建设开发有限责任公司</w:t>
      </w:r>
    </w:p>
    <w:p>
      <w:pPr>
        <w:spacing w:line="348" w:lineRule="auto"/>
        <w:jc w:val="center"/>
        <w:rPr>
          <w:rFonts w:hint="default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国产办公电脑采购</w:t>
      </w:r>
      <w:r>
        <w:rPr>
          <w:rFonts w:hint="default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竞争性谈判结果公示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四川省向家坝灌区建设开发有限责任公司于2023年11月10日开展了国产办公电脑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采购竞争性谈判评审，现将竞争性谈判结果公示如下：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一、项目名称：四川省向家坝灌区建设开发有限责任公司国产办公电脑采购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二、采购项目编号：2023-XGBG-12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三、竞争性谈判结果：</w:t>
      </w:r>
    </w:p>
    <w:tbl>
      <w:tblPr>
        <w:tblW w:w="9169" w:type="dxa"/>
        <w:jc w:val="center"/>
        <w:tblCellSpacing w:w="0" w:type="dxa"/>
        <w:tblInd w:w="-15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2"/>
        <w:gridCol w:w="4080"/>
        <w:gridCol w:w="26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ascii="黑体" w:hAnsi="宋体" w:eastAsia="黑体" w:cs="黑体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成交候选人顺序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26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最终报价（万元）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第一成交候选人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both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成都共赢腾飞科技有限公司</w:t>
            </w:r>
          </w:p>
        </w:tc>
        <w:tc>
          <w:tcPr>
            <w:tcW w:w="26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21.5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第二成交候选人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left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四川皓武信息技术咨询有限公司</w:t>
            </w:r>
          </w:p>
        </w:tc>
        <w:tc>
          <w:tcPr>
            <w:tcW w:w="26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21.93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第三成交候选人</w:t>
            </w:r>
          </w:p>
        </w:tc>
        <w:tc>
          <w:tcPr>
            <w:tcW w:w="4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left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四川创智开拓信息科技有限公司</w:t>
            </w:r>
          </w:p>
        </w:tc>
        <w:tc>
          <w:tcPr>
            <w:tcW w:w="26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  <w:rPr>
                <w:i w:val="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21.993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640"/>
        <w:jc w:val="both"/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640"/>
        <w:jc w:val="both"/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公示期：2023年11月</w:t>
      </w:r>
      <w:r>
        <w:rPr>
          <w:rFonts w:hint="eastAsia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13</w:t>
      </w: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日至2023年11月</w:t>
      </w:r>
      <w:r>
        <w:rPr>
          <w:rFonts w:hint="eastAsia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16</w:t>
      </w: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both"/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SourceHanSansCN-Regular" w:hAnsi="SourceHanSansCN-Regular" w:eastAsia="SourceHanSansCN-Regular" w:cs="SourceHanSansCN-Regular"/>
          <w:b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right"/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                   四川省向家坝灌区建设开发有限责任公司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right"/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2023年11月</w:t>
      </w:r>
      <w:r>
        <w:rPr>
          <w:rFonts w:hint="eastAsia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SourceHanSansCN-Regular" w:hAnsi="SourceHanSansCN-Regular" w:eastAsia="SourceHanSansCN-Regular" w:cs="SourceHanSansCN-Regular"/>
          <w:i w:val="0"/>
          <w:caps w:val="0"/>
          <w:color w:val="333333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3日</w:t>
      </w:r>
    </w:p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">
    <w:panose1 w:val="02060409020205020404"/>
    <w:charset w:val="00"/>
    <w:family w:val="modern"/>
    <w:pitch w:val="default"/>
    <w:sig w:usb0="00000007" w:usb1="00000000" w:usb2="00000000" w:usb3="00000000" w:csb0="00000093" w:csb1="00000000"/>
  </w:font>
  <w:font w:name="Mincho">
    <w:altName w:val="MS Mincho"/>
    <w:panose1 w:val="02020609040305080305"/>
    <w:charset w:val="80"/>
    <w:family w:val="roman"/>
    <w:pitch w:val="default"/>
    <w:sig w:usb0="00000000" w:usb1="00000000" w:usb2="00000010" w:usb3="00000000" w:csb0="0002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.....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中楷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书体坊王学勤钢笔行书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F5E97"/>
    <w:rsid w:val="52AF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2023-11-13T08:04:00Z</dcterms:created>
  <dc:creator>刘清</dc:creator>
  <cp:lastModifiedBy>刘清</cp:lastModifiedBy>
  <dcterms:modified xsi:type="dcterms:W3CDTF">2023-11-13T08:21:51Z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