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2" w:firstLineChars="200"/>
        <w:jc w:val="center"/>
        <w:rPr>
          <w:rFonts w:cs="仿宋_GB2312" w:asciiTheme="minorEastAsia" w:hAnsiTheme="minorEastAsia"/>
          <w:b/>
          <w:sz w:val="30"/>
          <w:szCs w:val="30"/>
        </w:rPr>
      </w:pPr>
    </w:p>
    <w:p>
      <w:pPr>
        <w:spacing w:line="360" w:lineRule="auto"/>
        <w:ind w:firstLine="602" w:firstLineChars="200"/>
        <w:jc w:val="center"/>
        <w:rPr>
          <w:rFonts w:cs="仿宋_GB2312" w:asciiTheme="minorEastAsia" w:hAnsiTheme="minorEastAsia"/>
          <w:b/>
          <w:sz w:val="30"/>
          <w:szCs w:val="30"/>
        </w:rPr>
      </w:pPr>
    </w:p>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spacing w:line="348" w:lineRule="auto"/>
        <w:jc w:val="center"/>
        <w:rPr>
          <w:rFonts w:hint="default" w:ascii="宋体" w:hAnsi="宋体" w:eastAsia="宋体" w:cs="Times New Roman"/>
          <w:bCs/>
          <w:sz w:val="44"/>
          <w:szCs w:val="44"/>
          <w:lang w:val="en-US" w:eastAsia="zh-CN"/>
        </w:rPr>
      </w:pPr>
      <w:r>
        <w:rPr>
          <w:rFonts w:hint="eastAsia" w:asciiTheme="majorEastAsia" w:hAnsiTheme="majorEastAsia" w:eastAsiaTheme="majorEastAsia" w:cstheme="majorEastAsia"/>
          <w:b/>
          <w:bCs/>
          <w:sz w:val="44"/>
          <w:szCs w:val="44"/>
          <w:lang w:val="en-US" w:eastAsia="zh-CN"/>
        </w:rPr>
        <w:t>车辆购置</w:t>
      </w:r>
    </w:p>
    <w:p>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4</w:t>
      </w:r>
      <w:r>
        <w:rPr>
          <w:rFonts w:hint="eastAsia" w:ascii="宋体" w:hAnsi="宋体" w:eastAsia="宋体" w:cs="Times New Roman"/>
          <w:b/>
          <w:sz w:val="28"/>
        </w:rPr>
        <w:t>年</w:t>
      </w:r>
      <w:r>
        <w:rPr>
          <w:rFonts w:hint="eastAsia" w:ascii="宋体" w:hAnsi="宋体" w:eastAsia="宋体" w:cs="Times New Roman"/>
          <w:b/>
          <w:sz w:val="28"/>
          <w:lang w:val="en-US" w:eastAsia="zh-CN"/>
        </w:rPr>
        <w:t>3</w:t>
      </w:r>
      <w:r>
        <w:rPr>
          <w:rFonts w:hint="eastAsia" w:ascii="宋体" w:hAnsi="宋体" w:eastAsia="宋体" w:cs="Times New Roman"/>
          <w:b/>
          <w:sz w:val="28"/>
        </w:rPr>
        <w:t>月</w:t>
      </w:r>
      <w:r>
        <w:rPr>
          <w:rFonts w:hint="eastAsia" w:ascii="宋体" w:hAnsi="宋体" w:eastAsia="宋体" w:cs="Times New Roman"/>
          <w:b/>
          <w:sz w:val="28"/>
          <w:lang w:val="en-US" w:eastAsia="zh-CN"/>
        </w:rPr>
        <w:t>7</w:t>
      </w:r>
      <w:r>
        <w:rPr>
          <w:rFonts w:hint="eastAsia" w:ascii="宋体" w:hAnsi="宋体" w:eastAsia="宋体" w:cs="Times New Roman"/>
          <w:b/>
          <w:sz w:val="28"/>
        </w:rPr>
        <w:t>日</w:t>
      </w:r>
    </w:p>
    <w:p>
      <w:pPr>
        <w:ind w:firstLine="200" w:firstLineChars="71"/>
        <w:jc w:val="center"/>
        <w:rPr>
          <w:rFonts w:ascii="宋体" w:hAnsi="宋体" w:eastAsia="宋体" w:cs="Times New Roman"/>
          <w:b/>
          <w:sz w:val="28"/>
        </w:rPr>
      </w:pPr>
    </w:p>
    <w:p>
      <w:pPr>
        <w:spacing w:line="360" w:lineRule="auto"/>
        <w:jc w:val="center"/>
        <w:rPr>
          <w:rFonts w:ascii="宋体" w:hAnsi="宋体" w:eastAsia="宋体" w:cs="Times New Roman"/>
          <w:b/>
          <w:sz w:val="28"/>
        </w:rPr>
      </w:pPr>
      <w:r>
        <w:rPr>
          <w:rFonts w:ascii="宋体" w:hAnsi="宋体" w:eastAsia="宋体" w:cs="Times New Roman"/>
          <w:b/>
          <w:sz w:val="28"/>
        </w:rPr>
        <w:br w:type="page"/>
      </w:r>
    </w:p>
    <w:p>
      <w:pPr>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pPr>
            <w:pStyle w:val="30"/>
            <w:jc w:val="center"/>
            <w:rPr>
              <w:color w:val="auto"/>
              <w:sz w:val="36"/>
              <w:szCs w:val="36"/>
            </w:rPr>
          </w:pPr>
          <w:r>
            <w:rPr>
              <w:color w:val="auto"/>
              <w:sz w:val="36"/>
              <w:szCs w:val="36"/>
              <w:lang w:val="zh-CN"/>
            </w:rPr>
            <w:t>目录</w:t>
          </w:r>
        </w:p>
        <w:p>
          <w:pPr>
            <w:pStyle w:val="14"/>
            <w:spacing w:after="0" w:line="460" w:lineRule="exact"/>
            <w:ind w:left="496" w:leftChars="103" w:hanging="280" w:hangingChars="100"/>
            <w:rPr>
              <w:sz w:val="28"/>
              <w:szCs w:val="28"/>
            </w:rPr>
          </w:pPr>
          <w:r>
            <w:rPr>
              <w:rFonts w:hint="eastAsia"/>
              <w:sz w:val="28"/>
              <w:szCs w:val="28"/>
            </w:rPr>
            <w:t>第一章  竞争性谈判邀请</w:t>
          </w:r>
          <w:r>
            <w:rPr>
              <w:rFonts w:hint="eastAsia"/>
              <w:sz w:val="28"/>
              <w:szCs w:val="28"/>
              <w:lang w:val="en-US" w:eastAsia="zh-CN"/>
            </w:rPr>
            <w:t>公告</w:t>
          </w:r>
          <w:r>
            <w:rPr>
              <w:sz w:val="28"/>
              <w:szCs w:val="28"/>
            </w:rPr>
            <w:ptab w:relativeTo="margin" w:alignment="right" w:leader="dot"/>
          </w:r>
          <w:r>
            <w:rPr>
              <w:rFonts w:hint="eastAsia"/>
              <w:sz w:val="28"/>
              <w:szCs w:val="28"/>
            </w:rPr>
            <w:t>1</w:t>
          </w:r>
        </w:p>
        <w:p>
          <w:pPr>
            <w:pStyle w:val="14"/>
            <w:spacing w:after="0" w:line="460" w:lineRule="exact"/>
            <w:ind w:left="216"/>
            <w:rPr>
              <w:rFonts w:hint="eastAsia" w:eastAsiaTheme="minorEastAsia"/>
              <w:sz w:val="28"/>
              <w:szCs w:val="28"/>
              <w:lang w:eastAsia="zh-CN"/>
            </w:rPr>
          </w:pPr>
          <w:r>
            <w:rPr>
              <w:rFonts w:hint="eastAsia"/>
              <w:sz w:val="28"/>
              <w:szCs w:val="28"/>
            </w:rPr>
            <w:t>第二章  竞争性谈判须知</w:t>
          </w:r>
          <w:r>
            <w:rPr>
              <w:sz w:val="28"/>
              <w:szCs w:val="28"/>
            </w:rPr>
            <w:ptab w:relativeTo="margin" w:alignment="right" w:leader="dot"/>
          </w:r>
          <w:r>
            <w:rPr>
              <w:rFonts w:hint="eastAsia"/>
              <w:sz w:val="28"/>
              <w:szCs w:val="28"/>
              <w:lang w:val="en-US" w:eastAsia="zh-CN"/>
            </w:rPr>
            <w:t>4</w:t>
          </w:r>
        </w:p>
        <w:p>
          <w:pPr>
            <w:pStyle w:val="14"/>
            <w:spacing w:after="0" w:line="460" w:lineRule="exact"/>
            <w:ind w:left="496" w:leftChars="103" w:hanging="280" w:hangingChars="100"/>
            <w:rPr>
              <w:rFonts w:hint="eastAsia" w:eastAsiaTheme="minorEastAsia"/>
              <w:sz w:val="28"/>
              <w:szCs w:val="28"/>
              <w:lang w:eastAsia="zh-CN"/>
            </w:rPr>
          </w:pPr>
          <w:r>
            <w:rPr>
              <w:rFonts w:hint="eastAsia"/>
              <w:sz w:val="28"/>
              <w:szCs w:val="28"/>
            </w:rPr>
            <w:t>第</w:t>
          </w:r>
          <w:r>
            <w:rPr>
              <w:rFonts w:hint="eastAsia"/>
              <w:sz w:val="28"/>
              <w:szCs w:val="28"/>
              <w:lang w:val="en-US" w:eastAsia="zh-CN"/>
            </w:rPr>
            <w:t>三</w:t>
          </w:r>
          <w:r>
            <w:rPr>
              <w:rFonts w:hint="eastAsia"/>
              <w:sz w:val="28"/>
              <w:szCs w:val="28"/>
            </w:rPr>
            <w:t>章  响应文件格式</w:t>
          </w:r>
          <w:r>
            <w:rPr>
              <w:sz w:val="28"/>
              <w:szCs w:val="28"/>
            </w:rPr>
            <w:ptab w:relativeTo="margin" w:alignment="right" w:leader="dot"/>
          </w:r>
          <w:r>
            <w:rPr>
              <w:rFonts w:hint="eastAsia"/>
              <w:sz w:val="28"/>
              <w:szCs w:val="28"/>
              <w:lang w:val="en-US" w:eastAsia="zh-CN"/>
            </w:rPr>
            <w:t>5</w:t>
          </w:r>
        </w:p>
        <w:p>
          <w:pPr>
            <w:spacing w:line="460" w:lineRule="exact"/>
            <w:ind w:firstLine="210" w:firstLineChars="100"/>
            <w:rPr>
              <w:lang w:val="zh-CN"/>
            </w:rPr>
          </w:pPr>
        </w:p>
      </w:sdtContent>
    </w:sdt>
    <w:p>
      <w:pPr>
        <w:spacing w:line="360" w:lineRule="auto"/>
        <w:jc w:val="center"/>
        <w:rPr>
          <w:rFonts w:ascii="宋体" w:hAnsi="宋体" w:eastAsia="宋体" w:cs="Times New Roman"/>
          <w:b/>
          <w:sz w:val="28"/>
          <w:szCs w:val="28"/>
        </w:rPr>
      </w:pPr>
    </w:p>
    <w:p>
      <w:pPr>
        <w:spacing w:line="360" w:lineRule="auto"/>
        <w:jc w:val="center"/>
        <w:rPr>
          <w:rFonts w:ascii="宋体" w:hAnsi="宋体" w:eastAsia="宋体" w:cs="Times New Roman"/>
          <w:b/>
          <w:sz w:val="28"/>
          <w:szCs w:val="28"/>
        </w:rPr>
      </w:pPr>
    </w:p>
    <w:p>
      <w:pPr>
        <w:spacing w:line="560" w:lineRule="exact"/>
        <w:jc w:val="center"/>
        <w:rPr>
          <w:rFonts w:asciiTheme="majorEastAsia" w:hAnsiTheme="majorEastAsia" w:eastAsiaTheme="majorEastAsia" w:cstheme="majorEastAsia"/>
          <w:b/>
          <w:bCs/>
          <w:sz w:val="44"/>
          <w:szCs w:val="44"/>
        </w:rPr>
        <w:sectPr>
          <w:footerReference r:id="rId3" w:type="default"/>
          <w:pgSz w:w="11906" w:h="16838"/>
          <w:pgMar w:top="1440" w:right="1440" w:bottom="1440" w:left="1440" w:header="851" w:footer="992" w:gutter="0"/>
          <w:pgNumType w:fmt="decimal" w:start="0"/>
          <w:cols w:space="425" w:num="1"/>
          <w:titlePg/>
          <w:docGrid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rPr>
      </w:pPr>
      <w:bookmarkStart w:id="0" w:name="_Toc213496267"/>
      <w:bookmarkStart w:id="1" w:name="_Toc213396759"/>
      <w:bookmarkStart w:id="2" w:name="_Toc213397009"/>
      <w:bookmarkStart w:id="3" w:name="_Toc18455"/>
      <w:bookmarkStart w:id="4" w:name="_Toc217446031"/>
      <w:bookmarkStart w:id="5" w:name="_Toc213396945"/>
      <w:bookmarkStart w:id="6" w:name="_Toc24939"/>
      <w:r>
        <w:rPr>
          <w:rFonts w:hint="eastAsia" w:ascii="黑体" w:hAnsi="黑体" w:eastAsia="黑体" w:cs="黑体"/>
          <w:b/>
          <w:bCs/>
          <w:color w:val="000000"/>
          <w:kern w:val="44"/>
          <w:sz w:val="32"/>
          <w:szCs w:val="32"/>
        </w:rPr>
        <w:t>第一章  四川省向家坝灌区建设开发有限责任公司</w:t>
      </w: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lang w:val="en-US"/>
        </w:rPr>
      </w:pPr>
      <w:r>
        <w:rPr>
          <w:rFonts w:hint="eastAsia" w:ascii="黑体" w:hAnsi="黑体" w:eastAsia="黑体" w:cs="黑体"/>
          <w:b/>
          <w:bCs/>
          <w:color w:val="000000"/>
          <w:kern w:val="44"/>
          <w:sz w:val="32"/>
          <w:szCs w:val="32"/>
          <w:lang w:val="en-US" w:eastAsia="zh-CN"/>
        </w:rPr>
        <w:t>车辆购置竞争性谈判邀请公告</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pPr>
    </w:p>
    <w:p>
      <w:pPr>
        <w:ind w:firstLine="640" w:firstLineChars="200"/>
        <w:rPr>
          <w:rFonts w:hint="eastAsia" w:ascii="仿宋_GB2312" w:hAnsi="Times New Roman" w:eastAsia="仿宋_GB2312" w:cs="Times New Roman"/>
          <w:color w:val="auto"/>
          <w:sz w:val="32"/>
          <w:szCs w:val="32"/>
          <w:lang w:val="en-US" w:eastAsia="zh-CN"/>
        </w:rPr>
      </w:pPr>
      <w:r>
        <w:rPr>
          <w:rFonts w:hint="eastAsia" w:ascii="仿宋_GB2312" w:hAnsi="黑体" w:eastAsia="仿宋_GB2312" w:cs="仿宋_GB2312"/>
          <w:sz w:val="32"/>
          <w:szCs w:val="32"/>
          <w:lang w:val="en-US" w:eastAsia="zh-CN"/>
        </w:rPr>
        <w:t>本公司因项目建设需要拟</w:t>
      </w:r>
      <w:r>
        <w:rPr>
          <w:rFonts w:hint="eastAsia" w:ascii="仿宋_GB2312" w:eastAsia="仿宋_GB2312"/>
          <w:sz w:val="32"/>
          <w:szCs w:val="32"/>
        </w:rPr>
        <w:t>采用</w:t>
      </w:r>
      <w:r>
        <w:rPr>
          <w:rFonts w:hint="eastAsia" w:ascii="仿宋_GB2312" w:eastAsia="仿宋_GB2312"/>
          <w:sz w:val="32"/>
          <w:szCs w:val="32"/>
          <w:lang w:val="en-US" w:eastAsia="zh-CN"/>
        </w:rPr>
        <w:t>竞争性谈判</w:t>
      </w:r>
      <w:r>
        <w:rPr>
          <w:rFonts w:hint="eastAsia" w:ascii="仿宋_GB2312" w:eastAsia="仿宋_GB2312"/>
          <w:sz w:val="32"/>
          <w:szCs w:val="32"/>
          <w:lang w:eastAsia="zh-CN"/>
        </w:rPr>
        <w:t>采购</w:t>
      </w:r>
      <w:r>
        <w:rPr>
          <w:rFonts w:hint="eastAsia" w:ascii="仿宋_GB2312" w:eastAsia="仿宋_GB2312"/>
          <w:sz w:val="32"/>
          <w:szCs w:val="32"/>
        </w:rPr>
        <w:t>的方式购置一批</w:t>
      </w:r>
      <w:r>
        <w:rPr>
          <w:rFonts w:hint="eastAsia" w:ascii="仿宋_GB2312" w:eastAsia="仿宋_GB2312"/>
          <w:sz w:val="32"/>
          <w:szCs w:val="32"/>
          <w:lang w:val="en-US" w:eastAsia="zh-CN"/>
        </w:rPr>
        <w:t>车辆</w:t>
      </w:r>
      <w:r>
        <w:rPr>
          <w:rFonts w:hint="eastAsia" w:ascii="仿宋_GB2312" w:eastAsia="仿宋_GB2312"/>
          <w:sz w:val="32"/>
          <w:szCs w:val="32"/>
        </w:rPr>
        <w:t>。欢迎符合要求的供应商参与。</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eastAsia="仿宋_GB2312"/>
          <w:sz w:val="32"/>
          <w:szCs w:val="32"/>
        </w:rPr>
      </w:pPr>
      <w:r>
        <w:rPr>
          <w:rFonts w:hint="eastAsia" w:ascii="黑体" w:hAnsi="黑体" w:eastAsia="黑体"/>
          <w:sz w:val="32"/>
          <w:szCs w:val="32"/>
        </w:rPr>
        <w:t>一、项目名称</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四川省向家坝灌区建设开发有限责任公司</w:t>
      </w:r>
      <w:r>
        <w:rPr>
          <w:rFonts w:hint="eastAsia" w:ascii="仿宋_GB2312" w:eastAsia="仿宋_GB2312"/>
          <w:sz w:val="32"/>
          <w:szCs w:val="32"/>
          <w:lang w:val="en-US" w:eastAsia="zh-CN"/>
        </w:rPr>
        <w:t>车辆购置</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黑体" w:hAnsi="黑体" w:eastAsia="黑体"/>
          <w:sz w:val="32"/>
          <w:szCs w:val="32"/>
          <w:lang w:val="en-US" w:eastAsia="zh-CN"/>
        </w:rPr>
        <w:t>二、</w:t>
      </w:r>
      <w:r>
        <w:rPr>
          <w:rFonts w:hint="eastAsia" w:ascii="黑体" w:hAnsi="黑体" w:eastAsia="黑体"/>
          <w:sz w:val="32"/>
          <w:szCs w:val="32"/>
        </w:rPr>
        <w:t>项目控制价：</w:t>
      </w:r>
      <w:r>
        <w:rPr>
          <w:rFonts w:hint="eastAsia" w:ascii="仿宋_GB2312" w:eastAsia="仿宋_GB2312"/>
          <w:sz w:val="32"/>
          <w:szCs w:val="32"/>
          <w:lang w:val="en-US" w:eastAsia="zh-CN"/>
        </w:rPr>
        <w:t>每辆越野车裸车控制价为 16万元(含)，4辆总控制价为64万元(含)</w:t>
      </w:r>
      <w:r>
        <w:rPr>
          <w:rFonts w:hint="eastAsia" w:ascii="仿宋_GB2312" w:eastAsia="仿宋_GB2312"/>
          <w:sz w:val="32"/>
          <w:szCs w:val="32"/>
          <w:lang w:eastAsia="zh-CN"/>
        </w:rPr>
        <w:t>。</w:t>
      </w:r>
    </w:p>
    <w:p>
      <w:pPr>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textAlignment w:val="auto"/>
        <w:rPr>
          <w:rFonts w:hint="eastAsia"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采购要求</w:t>
      </w:r>
    </w:p>
    <w:p>
      <w:pPr>
        <w:pageBreakBefore w:val="0"/>
        <w:widowControl w:val="0"/>
        <w:numPr>
          <w:ilvl w:val="0"/>
          <w:numId w:val="0"/>
        </w:numPr>
        <w:kinsoku/>
        <w:wordWrap/>
        <w:overflowPunct/>
        <w:topLinePunct w:val="0"/>
        <w:autoSpaceDE/>
        <w:autoSpaceDN/>
        <w:bidi w:val="0"/>
        <w:adjustRightInd/>
        <w:snapToGrid/>
        <w:spacing w:line="240" w:lineRule="auto"/>
        <w:ind w:leftChars="200" w:right="0" w:rightChars="0"/>
        <w:textAlignment w:val="auto"/>
        <w:rPr>
          <w:rFonts w:hint="eastAsia" w:ascii="黑体" w:hAnsi="黑体" w:eastAsia="黑体"/>
          <w:sz w:val="32"/>
          <w:szCs w:val="32"/>
        </w:rPr>
      </w:pPr>
      <w:r>
        <w:rPr>
          <w:rFonts w:hint="eastAsia" w:ascii="仿宋_GB2312" w:hAnsi="仿宋" w:eastAsia="仿宋_GB2312"/>
          <w:b/>
          <w:bCs/>
          <w:sz w:val="32"/>
          <w:szCs w:val="32"/>
          <w:lang w:val="en-US" w:eastAsia="zh-CN"/>
        </w:rPr>
        <w:t>（一）采购清单</w:t>
      </w:r>
    </w:p>
    <w:tbl>
      <w:tblPr>
        <w:tblStyle w:val="17"/>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160"/>
        <w:gridCol w:w="1207"/>
        <w:gridCol w:w="1103"/>
        <w:gridCol w:w="945"/>
        <w:gridCol w:w="1080"/>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16" w:type="dxa"/>
            <w:tcBorders>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序号</w:t>
            </w:r>
          </w:p>
        </w:tc>
        <w:tc>
          <w:tcPr>
            <w:tcW w:w="2160" w:type="dxa"/>
            <w:tcBorders>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品类</w:t>
            </w:r>
          </w:p>
        </w:tc>
        <w:tc>
          <w:tcPr>
            <w:tcW w:w="1207"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kern w:val="2"/>
                <w:sz w:val="24"/>
                <w:szCs w:val="24"/>
                <w:lang w:val="en-US" w:eastAsia="zh-CN" w:bidi="ar-SA"/>
              </w:rPr>
            </w:pPr>
            <w:r>
              <w:rPr>
                <w:rFonts w:hint="eastAsia" w:ascii="方正黑体简体" w:hAnsi="方正黑体简体" w:eastAsia="方正黑体简体" w:cs="宋体"/>
                <w:sz w:val="24"/>
                <w:szCs w:val="24"/>
                <w:lang w:val="en-US" w:eastAsia="zh-CN"/>
              </w:rPr>
              <w:t>排量</w:t>
            </w:r>
          </w:p>
        </w:tc>
        <w:tc>
          <w:tcPr>
            <w:tcW w:w="1103"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驱动</w:t>
            </w:r>
          </w:p>
        </w:tc>
        <w:tc>
          <w:tcPr>
            <w:tcW w:w="945"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数量</w:t>
            </w:r>
          </w:p>
        </w:tc>
        <w:tc>
          <w:tcPr>
            <w:tcW w:w="1080"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单位</w:t>
            </w:r>
          </w:p>
        </w:tc>
        <w:tc>
          <w:tcPr>
            <w:tcW w:w="2321"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16" w:type="dxa"/>
            <w:tcBorders>
              <w:top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电混越野车（插电式混动）</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2.0（含）以下</w:t>
            </w:r>
          </w:p>
        </w:tc>
        <w:tc>
          <w:tcPr>
            <w:tcW w:w="11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四驱（双电机）</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辆</w:t>
            </w:r>
          </w:p>
        </w:tc>
        <w:tc>
          <w:tcPr>
            <w:tcW w:w="2321" w:type="dxa"/>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车辆排放标准符合国Ⅵ排放标准。</w:t>
            </w:r>
          </w:p>
          <w:p>
            <w:pPr>
              <w:jc w:val="center"/>
              <w:rPr>
                <w:rFonts w:hint="default" w:ascii="仿宋_GB2312" w:hAnsi="仿宋_GB2312" w:eastAsia="仿宋_GB2312" w:cs="仿宋_GB2312"/>
                <w:sz w:val="24"/>
                <w:szCs w:val="24"/>
                <w:lang w:val="en-US" w:eastAsia="zh-CN"/>
              </w:rPr>
            </w:pPr>
          </w:p>
        </w:tc>
      </w:tr>
    </w:tbl>
    <w:p>
      <w:pPr>
        <w:pageBreakBefore w:val="0"/>
        <w:widowControl w:val="0"/>
        <w:kinsoku/>
        <w:wordWrap/>
        <w:overflowPunct/>
        <w:topLinePunct w:val="0"/>
        <w:autoSpaceDE/>
        <w:autoSpaceDN/>
        <w:bidi w:val="0"/>
        <w:adjustRightInd/>
        <w:snapToGrid/>
        <w:spacing w:line="240" w:lineRule="auto"/>
        <w:ind w:right="0" w:rightChars="0"/>
        <w:textAlignment w:val="auto"/>
        <w:rPr>
          <w:rFonts w:hint="eastAsia" w:ascii="仿宋_GB2312" w:eastAsia="仿宋_GB2312"/>
          <w:b/>
          <w:bCs/>
          <w:sz w:val="32"/>
          <w:szCs w:val="32"/>
          <w:lang w:eastAsia="zh-CN"/>
        </w:rPr>
      </w:pPr>
    </w:p>
    <w:p>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lang w:val="en-US" w:eastAsia="zh-CN"/>
        </w:rPr>
        <w:t>供应商资格</w:t>
      </w:r>
      <w:r>
        <w:rPr>
          <w:rFonts w:hint="eastAsia" w:ascii="仿宋_GB2312" w:eastAsia="仿宋_GB2312"/>
          <w:b/>
          <w:bCs/>
          <w:sz w:val="32"/>
          <w:szCs w:val="32"/>
        </w:rPr>
        <w:t>要求</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lang w:eastAsia="zh-CN"/>
        </w:rPr>
        <w:t>供应商</w:t>
      </w:r>
      <w:r>
        <w:rPr>
          <w:rFonts w:hint="eastAsia" w:ascii="仿宋_GB2312" w:eastAsia="仿宋_GB2312"/>
          <w:sz w:val="32"/>
          <w:szCs w:val="32"/>
        </w:rPr>
        <w:t>应当</w:t>
      </w:r>
      <w:r>
        <w:rPr>
          <w:rFonts w:hint="eastAsia" w:ascii="仿宋_GB2312" w:eastAsia="仿宋_GB2312"/>
          <w:sz w:val="32"/>
          <w:szCs w:val="32"/>
          <w:lang w:val="en-US" w:eastAsia="zh-CN"/>
        </w:rPr>
        <w:t>具有有效营业执照的法人资格或依法设立的其他组织，且应为车辆的制造商，销售代理商或授权经销商，具有良好的社会信誉和履行合同的能力，能够提供先进可靠的产品和良好的售后服务。</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2.提供的货物质量必须满足国家和行业标准，</w:t>
      </w:r>
      <w:r>
        <w:rPr>
          <w:rFonts w:hint="eastAsia" w:ascii="仿宋_GB2312" w:eastAsia="仿宋_GB2312"/>
          <w:sz w:val="32"/>
          <w:szCs w:val="32"/>
        </w:rPr>
        <w:t>确保提供货品为正品</w:t>
      </w:r>
      <w:r>
        <w:rPr>
          <w:rFonts w:hint="eastAsia" w:ascii="仿宋_GB2312" w:eastAsia="仿宋_GB2312"/>
          <w:sz w:val="32"/>
          <w:szCs w:val="32"/>
          <w:lang w:eastAsia="zh-CN"/>
        </w:rPr>
        <w:t>。</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sectPr>
          <w:footerReference r:id="rId4" w:type="default"/>
          <w:pgSz w:w="11906" w:h="16838"/>
          <w:pgMar w:top="1440" w:right="1440" w:bottom="1440" w:left="1440" w:header="851" w:footer="992" w:gutter="0"/>
          <w:pgNumType w:fmt="decimal" w:start="1"/>
          <w:cols w:space="425" w:num="1"/>
          <w:docGrid w:type="lines" w:linePitch="312" w:charSpace="0"/>
        </w:sectPr>
      </w:pPr>
      <w:r>
        <w:rPr>
          <w:rFonts w:hint="eastAsia" w:ascii="仿宋_GB2312" w:eastAsia="仿宋_GB2312"/>
          <w:sz w:val="32"/>
          <w:szCs w:val="32"/>
          <w:lang w:val="en-US" w:eastAsia="zh-CN"/>
        </w:rPr>
        <w:t>3.按照国家和行业相关标准提供售后服务和其它品牌销售方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提供的增值服务。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4.提供相应的机动车销售统一发票</w:t>
      </w:r>
      <w:bookmarkStart w:id="14" w:name="_GoBack"/>
      <w:bookmarkEnd w:id="14"/>
      <w:r>
        <w:rPr>
          <w:rFonts w:hint="eastAsia" w:ascii="仿宋_GB2312" w:eastAsia="仿宋_GB2312"/>
          <w:sz w:val="32"/>
          <w:szCs w:val="32"/>
          <w:lang w:val="en-US" w:eastAsia="zh-CN"/>
        </w:rPr>
        <w:t>。</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eastAsia="zh-CN"/>
        </w:rPr>
        <w:t>四</w:t>
      </w:r>
      <w:r>
        <w:rPr>
          <w:rFonts w:hint="eastAsia" w:ascii="黑体" w:eastAsia="黑体"/>
        </w:rPr>
        <w:t>、</w:t>
      </w:r>
      <w:r>
        <w:rPr>
          <w:rFonts w:hint="eastAsia" w:ascii="黑体" w:eastAsia="黑体"/>
          <w:lang w:val="en-US" w:eastAsia="zh-CN"/>
        </w:rPr>
        <w:t>项目竞争性谈判</w:t>
      </w:r>
      <w:r>
        <w:rPr>
          <w:rFonts w:hint="eastAsia" w:ascii="黑体" w:eastAsia="黑体"/>
        </w:rPr>
        <w:t>报名时间</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default"/>
          <w:lang w:val="en-US" w:eastAsia="zh-CN"/>
        </w:rPr>
      </w:pPr>
      <w:r>
        <w:rPr>
          <w:rFonts w:hint="eastAsia"/>
          <w:lang w:val="en-US" w:eastAsia="zh-CN"/>
        </w:rPr>
        <w:t>2024年3月7日15:30-2024年3月12日15:30</w:t>
      </w:r>
    </w:p>
    <w:p>
      <w:pPr>
        <w:numPr>
          <w:ilvl w:val="0"/>
          <w:numId w:val="0"/>
        </w:numPr>
        <w:spacing w:line="360" w:lineRule="auto"/>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黑体" w:hAnsi="仿宋_GB2312" w:eastAsia="黑体" w:cs="仿宋_GB2312"/>
          <w:kern w:val="2"/>
          <w:sz w:val="32"/>
          <w:szCs w:val="32"/>
          <w:lang w:val="en-US" w:eastAsia="zh-CN" w:bidi="ar-SA"/>
        </w:rPr>
        <w:t>五、项目递交响应文件截止时间：</w:t>
      </w:r>
      <w:r>
        <w:rPr>
          <w:rFonts w:hint="eastAsia" w:ascii="仿宋_GB2312" w:hAnsi="仿宋_GB2312" w:eastAsia="仿宋_GB2312" w:cs="仿宋_GB2312"/>
          <w:kern w:val="2"/>
          <w:sz w:val="32"/>
          <w:szCs w:val="32"/>
          <w:lang w:val="en-US" w:eastAsia="zh-CN" w:bidi="ar-SA"/>
        </w:rPr>
        <w:t>2024年3月12日15时30分（北京时间，节假日除外），响应文件下载地址：</w:t>
      </w:r>
    </w:p>
    <w:p>
      <w:pPr>
        <w:numPr>
          <w:ilvl w:val="0"/>
          <w:numId w:val="0"/>
        </w:numPr>
        <w:spacing w:line="360" w:lineRule="auto"/>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http://www.scwater.cc。</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六</w:t>
      </w:r>
      <w:r>
        <w:rPr>
          <w:rFonts w:hint="eastAsia" w:ascii="黑体" w:eastAsia="黑体"/>
        </w:rPr>
        <w:t>、</w:t>
      </w:r>
      <w:r>
        <w:rPr>
          <w:rFonts w:hint="eastAsia" w:ascii="黑体" w:eastAsia="黑体"/>
          <w:lang w:val="en-US" w:eastAsia="zh-CN"/>
        </w:rPr>
        <w:t>项目竞争性谈判</w:t>
      </w:r>
      <w:r>
        <w:rPr>
          <w:rFonts w:hint="eastAsia" w:ascii="黑体" w:eastAsia="黑体"/>
        </w:rPr>
        <w:t>时间</w:t>
      </w:r>
    </w:p>
    <w:p>
      <w:pPr>
        <w:pStyle w:val="6"/>
        <w:spacing w:before="0"/>
        <w:ind w:left="0" w:leftChars="0" w:firstLine="640" w:firstLineChars="200"/>
        <w:jc w:val="left"/>
        <w:rPr>
          <w:rFonts w:hint="default"/>
          <w:lang w:val="en-US"/>
        </w:rPr>
      </w:pPr>
      <w:r>
        <w:rPr>
          <w:rFonts w:hint="eastAsia"/>
        </w:rPr>
        <w:t>202</w:t>
      </w:r>
      <w:r>
        <w:rPr>
          <w:rFonts w:hint="eastAsia"/>
          <w:lang w:val="en-US" w:eastAsia="zh-CN"/>
        </w:rPr>
        <w:t>4</w:t>
      </w:r>
      <w:r>
        <w:rPr>
          <w:rFonts w:hint="eastAsia"/>
        </w:rPr>
        <w:t>年</w:t>
      </w:r>
      <w:r>
        <w:rPr>
          <w:rFonts w:hint="eastAsia"/>
          <w:lang w:val="en-US" w:eastAsia="zh-CN"/>
        </w:rPr>
        <w:t>3</w:t>
      </w:r>
      <w:r>
        <w:rPr>
          <w:rFonts w:hint="eastAsia"/>
        </w:rPr>
        <w:t>月</w:t>
      </w:r>
      <w:r>
        <w:rPr>
          <w:rFonts w:hint="eastAsia"/>
          <w:lang w:val="en-US" w:eastAsia="zh-CN"/>
        </w:rPr>
        <w:t>12</w:t>
      </w:r>
      <w:r>
        <w:rPr>
          <w:rFonts w:hint="eastAsia"/>
        </w:rPr>
        <w:t>日</w:t>
      </w:r>
      <w:r>
        <w:rPr>
          <w:rFonts w:hint="eastAsia"/>
          <w:lang w:val="en-US" w:eastAsia="zh-CN"/>
        </w:rPr>
        <w:t>15</w:t>
      </w:r>
      <w:r>
        <w:rPr>
          <w:rFonts w:hint="eastAsia"/>
        </w:rPr>
        <w:t>:</w:t>
      </w:r>
      <w:r>
        <w:rPr>
          <w:rFonts w:hint="eastAsia"/>
          <w:lang w:val="en-US" w:eastAsia="zh-CN"/>
        </w:rPr>
        <w:t>30。</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七</w:t>
      </w:r>
      <w:r>
        <w:rPr>
          <w:rFonts w:hint="eastAsia" w:ascii="黑体" w:eastAsia="黑体"/>
        </w:rPr>
        <w:t>、</w:t>
      </w:r>
      <w:r>
        <w:rPr>
          <w:rFonts w:hint="eastAsia" w:ascii="黑体" w:eastAsia="黑体"/>
          <w:lang w:val="en-US" w:eastAsia="zh-CN"/>
        </w:rPr>
        <w:t>项目竞争性谈判</w:t>
      </w:r>
      <w:r>
        <w:rPr>
          <w:rFonts w:hint="eastAsia" w:ascii="黑体" w:eastAsia="黑体"/>
        </w:rPr>
        <w:t>地点</w:t>
      </w:r>
    </w:p>
    <w:p>
      <w:pPr>
        <w:spacing w:line="360" w:lineRule="auto"/>
        <w:ind w:firstLine="640" w:firstLineChars="200"/>
        <w:jc w:val="left"/>
      </w:pPr>
      <w:r>
        <w:rPr>
          <w:rFonts w:hint="eastAsia" w:ascii="仿宋_GB2312" w:hAnsi="仿宋_GB2312" w:eastAsia="仿宋_GB2312" w:cs="仿宋_GB2312"/>
          <w:kern w:val="2"/>
          <w:sz w:val="32"/>
          <w:szCs w:val="32"/>
          <w:lang w:val="en-US" w:eastAsia="zh-CN" w:bidi="ar-SA"/>
        </w:rPr>
        <w:t>四川省宜宾市叙州区蜀南大道西段34号市建设银行14楼指挥部会议室，响应文件必须在递交响应文件截止时间前送达竞争性谈判地点。逾期送达、密封和标注错误的响应文件，采购人恕不接收。本次采购不接收邮寄的响应文件。</w:t>
      </w:r>
    </w:p>
    <w:p>
      <w:pPr>
        <w:ind w:firstLine="640" w:firstLineChars="200"/>
        <w:jc w:val="left"/>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w:t>
      </w:r>
      <w:r>
        <w:rPr>
          <w:rFonts w:hint="eastAsia" w:ascii="黑体" w:hAnsi="黑体" w:eastAsia="黑体"/>
          <w:sz w:val="32"/>
          <w:szCs w:val="32"/>
          <w:lang w:val="en-US" w:eastAsia="zh-CN"/>
        </w:rPr>
        <w:t>谈判</w:t>
      </w:r>
      <w:r>
        <w:rPr>
          <w:rFonts w:hint="eastAsia" w:ascii="黑体" w:hAnsi="黑体" w:eastAsia="黑体"/>
          <w:sz w:val="32"/>
          <w:szCs w:val="32"/>
        </w:rPr>
        <w:t>评审方式</w:t>
      </w:r>
    </w:p>
    <w:p>
      <w:pPr>
        <w:spacing w:line="576" w:lineRule="exact"/>
        <w:ind w:firstLine="640" w:firstLineChars="200"/>
        <w:rPr>
          <w:rFonts w:hint="eastAsia" w:ascii="黑体" w:hAnsi="黑体" w:eastAsia="黑体"/>
          <w:sz w:val="32"/>
          <w:szCs w:val="32"/>
          <w:lang w:eastAsia="zh-CN"/>
        </w:rPr>
      </w:pPr>
      <w:r>
        <w:rPr>
          <w:rFonts w:hint="eastAsia" w:ascii="仿宋_GB2312" w:eastAsia="仿宋_GB2312"/>
          <w:sz w:val="32"/>
          <w:szCs w:val="32"/>
          <w:lang w:val="en-US" w:eastAsia="zh-CN"/>
        </w:rPr>
        <w:t>本次采购项目报名供应商不低于3家，报价不得超过项目控制价，评审</w:t>
      </w:r>
      <w:r>
        <w:rPr>
          <w:rFonts w:hint="eastAsia" w:ascii="仿宋_GB2312" w:eastAsia="仿宋_GB2312"/>
          <w:sz w:val="32"/>
          <w:szCs w:val="32"/>
        </w:rPr>
        <w:t>采取</w:t>
      </w:r>
      <w:r>
        <w:rPr>
          <w:rFonts w:hint="eastAsia" w:ascii="仿宋_GB2312" w:eastAsia="仿宋_GB2312"/>
          <w:sz w:val="32"/>
          <w:szCs w:val="32"/>
          <w:lang w:val="en-US" w:eastAsia="zh-CN"/>
        </w:rPr>
        <w:t>现场评审</w:t>
      </w:r>
      <w:r>
        <w:rPr>
          <w:rFonts w:hint="eastAsia" w:ascii="仿宋_GB2312" w:eastAsia="仿宋_GB2312"/>
          <w:sz w:val="32"/>
          <w:szCs w:val="32"/>
        </w:rPr>
        <w:t>二次报价的方式，二次报价不得高于第一次报价，第二次报价为最终报价，作为采购方评价依据。</w:t>
      </w:r>
    </w:p>
    <w:p>
      <w:pPr>
        <w:ind w:firstLine="640" w:firstLineChars="200"/>
        <w:jc w:val="left"/>
        <w:rPr>
          <w:rFonts w:hint="eastAsia" w:ascii="黑体" w:hAnsi="黑体" w:eastAsia="黑体"/>
          <w:sz w:val="32"/>
          <w:szCs w:val="32"/>
          <w:lang w:val="en-US" w:eastAsia="zh-CN"/>
        </w:rPr>
      </w:pPr>
      <w:r>
        <w:rPr>
          <w:rFonts w:hint="eastAsia" w:ascii="黑体" w:hAnsi="黑体" w:eastAsia="黑体"/>
          <w:sz w:val="32"/>
          <w:szCs w:val="32"/>
          <w:lang w:val="en-US" w:eastAsia="zh-CN"/>
        </w:rPr>
        <w:t>九、联系方式</w:t>
      </w:r>
    </w:p>
    <w:p>
      <w:pPr>
        <w:spacing w:line="576" w:lineRule="exact"/>
        <w:ind w:firstLine="482" w:firstLineChars="200"/>
        <w:rPr>
          <w:rFonts w:hint="eastAsia" w:ascii="仿宋_GB2312" w:eastAsia="仿宋_GB2312"/>
          <w:sz w:val="32"/>
          <w:szCs w:val="32"/>
        </w:rPr>
      </w:pPr>
      <w:r>
        <w:rPr>
          <w:rFonts w:hint="eastAsia"/>
          <w:b/>
          <w:color w:val="000000"/>
          <w:sz w:val="24"/>
        </w:rPr>
        <w:t xml:space="preserve">  </w:t>
      </w:r>
      <w:r>
        <w:rPr>
          <w:rFonts w:hint="eastAsia" w:ascii="仿宋_GB2312" w:eastAsia="仿宋_GB2312"/>
          <w:b/>
          <w:bCs/>
          <w:sz w:val="32"/>
          <w:szCs w:val="32"/>
          <w:lang w:val="en-US" w:eastAsia="zh-CN"/>
        </w:rPr>
        <w:t>采购方：</w:t>
      </w:r>
      <w:r>
        <w:rPr>
          <w:rFonts w:hint="eastAsia" w:ascii="仿宋_GB2312" w:eastAsia="仿宋_GB2312"/>
          <w:sz w:val="32"/>
          <w:szCs w:val="32"/>
        </w:rPr>
        <w:t xml:space="preserve">四川省向家坝灌区建设开发有限责任公司 </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通讯地址：</w:t>
      </w:r>
      <w:r>
        <w:rPr>
          <w:rFonts w:hint="eastAsia" w:ascii="仿宋_GB2312" w:eastAsia="仿宋_GB2312"/>
          <w:sz w:val="32"/>
          <w:szCs w:val="32"/>
          <w:u w:val="single"/>
        </w:rPr>
        <w:t>四川省宜宾市叙州区蜀南大道西段34号市建设银行10楼</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邮    编：</w:t>
      </w:r>
      <w:r>
        <w:rPr>
          <w:rFonts w:hint="eastAsia" w:ascii="仿宋_GB2312" w:eastAsia="仿宋_GB2312"/>
          <w:sz w:val="32"/>
          <w:szCs w:val="32"/>
          <w:u w:val="single"/>
        </w:rPr>
        <w:t xml:space="preserve">644000 </w:t>
      </w:r>
    </w:p>
    <w:p>
      <w:pPr>
        <w:spacing w:line="576" w:lineRule="exact"/>
        <w:ind w:firstLine="640" w:firstLineChars="200"/>
        <w:rPr>
          <w:rFonts w:hint="eastAsia" w:ascii="仿宋_GB2312" w:eastAsia="仿宋_GB2312"/>
          <w:sz w:val="32"/>
          <w:szCs w:val="32"/>
          <w:u w:val="single"/>
          <w:lang w:eastAsia="zh-CN"/>
        </w:rPr>
      </w:pPr>
      <w:r>
        <w:rPr>
          <w:rFonts w:hint="eastAsia" w:ascii="仿宋_GB2312" w:eastAsia="仿宋_GB2312"/>
          <w:sz w:val="32"/>
          <w:szCs w:val="32"/>
        </w:rPr>
        <w:t>联 系 人：</w:t>
      </w:r>
      <w:r>
        <w:rPr>
          <w:rFonts w:hint="eastAsia" w:ascii="仿宋_GB2312" w:eastAsia="仿宋_GB2312"/>
          <w:sz w:val="32"/>
          <w:szCs w:val="32"/>
          <w:u w:val="single"/>
          <w:lang w:val="en-US" w:eastAsia="zh-CN"/>
        </w:rPr>
        <w:t>向先生</w:t>
      </w:r>
    </w:p>
    <w:p>
      <w:pPr>
        <w:spacing w:line="576"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rPr>
        <w:t>联系电话：</w:t>
      </w:r>
      <w:r>
        <w:rPr>
          <w:rFonts w:hint="eastAsia" w:ascii="仿宋_GB2312" w:eastAsia="仿宋_GB2312"/>
          <w:sz w:val="32"/>
          <w:szCs w:val="32"/>
          <w:u w:val="single"/>
        </w:rPr>
        <w:t>0831-59587</w:t>
      </w:r>
      <w:r>
        <w:rPr>
          <w:rFonts w:hint="eastAsia" w:ascii="仿宋_GB2312" w:eastAsia="仿宋_GB2312"/>
          <w:sz w:val="32"/>
          <w:szCs w:val="32"/>
          <w:u w:val="single"/>
          <w:lang w:val="en-US" w:eastAsia="zh-CN"/>
        </w:rPr>
        <w:t>15</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传    真：</w:t>
      </w:r>
      <w:r>
        <w:rPr>
          <w:rFonts w:hint="eastAsia" w:ascii="仿宋_GB2312" w:eastAsia="仿宋_GB2312"/>
          <w:sz w:val="32"/>
          <w:szCs w:val="32"/>
          <w:u w:val="single"/>
        </w:rPr>
        <w:t>0831-5958711</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电子邮件：</w:t>
      </w:r>
      <w:r>
        <w:rPr>
          <w:rFonts w:hint="eastAsia" w:ascii="仿宋_GB2312" w:eastAsia="仿宋_GB2312"/>
          <w:sz w:val="32"/>
          <w:szCs w:val="32"/>
          <w:u w:val="single"/>
        </w:rPr>
        <w:fldChar w:fldCharType="begin"/>
      </w:r>
      <w:r>
        <w:rPr>
          <w:rFonts w:hint="eastAsia" w:ascii="仿宋_GB2312" w:eastAsia="仿宋_GB2312"/>
          <w:sz w:val="32"/>
          <w:szCs w:val="32"/>
          <w:u w:val="single"/>
        </w:rPr>
        <w:instrText xml:space="preserve"> HYPERLINK "http://www.scwater.cc/" </w:instrText>
      </w:r>
      <w:r>
        <w:rPr>
          <w:rFonts w:hint="eastAsia" w:ascii="仿宋_GB2312" w:eastAsia="仿宋_GB2312"/>
          <w:sz w:val="32"/>
          <w:szCs w:val="32"/>
          <w:u w:val="single"/>
        </w:rPr>
        <w:fldChar w:fldCharType="separate"/>
      </w:r>
      <w:r>
        <w:rPr>
          <w:rFonts w:hint="eastAsia" w:ascii="仿宋_GB2312" w:eastAsia="仿宋_GB2312"/>
          <w:sz w:val="32"/>
          <w:szCs w:val="32"/>
          <w:u w:val="single"/>
        </w:rPr>
        <w:t>http://www.scwater.cc/</w:t>
      </w:r>
      <w:r>
        <w:rPr>
          <w:rFonts w:hint="eastAsia" w:ascii="仿宋_GB2312" w:eastAsia="仿宋_GB2312"/>
          <w:sz w:val="32"/>
          <w:szCs w:val="32"/>
          <w:u w:val="single"/>
        </w:rPr>
        <w:fldChar w:fldCharType="end"/>
      </w:r>
    </w:p>
    <w:p>
      <w:pPr>
        <w:spacing w:line="360" w:lineRule="auto"/>
        <w:ind w:firstLine="1200" w:firstLineChars="500"/>
        <w:rPr>
          <w:color w:val="000000"/>
          <w:sz w:val="24"/>
        </w:rPr>
      </w:pPr>
    </w:p>
    <w:p>
      <w:pPr>
        <w:pStyle w:val="6"/>
        <w:keepNext w:val="0"/>
        <w:keepLines w:val="0"/>
        <w:pageBreakBefore w:val="0"/>
        <w:numPr>
          <w:ilvl w:val="0"/>
          <w:numId w:val="0"/>
        </w:numPr>
        <w:kinsoku/>
        <w:wordWrap/>
        <w:overflowPunct/>
        <w:topLinePunct w:val="0"/>
        <w:bidi w:val="0"/>
        <w:adjustRightInd/>
        <w:snapToGrid/>
        <w:spacing w:before="0" w:after="0" w:line="240" w:lineRule="auto"/>
        <w:jc w:val="left"/>
        <w:textAlignment w:val="auto"/>
        <w:rPr>
          <w:rFonts w:hint="eastAsia"/>
          <w:spacing w:val="14"/>
          <w:w w:val="95"/>
          <w:sz w:val="32"/>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四川省向家坝灌区建设开发有限责任公司</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lang w:val="en-US" w:eastAsia="zh-CN"/>
        </w:rPr>
        <w:sectPr>
          <w:footerReference r:id="rId5" w:type="default"/>
          <w:pgSz w:w="11906" w:h="16838"/>
          <w:pgMar w:top="1440" w:right="1440" w:bottom="1440" w:left="1440" w:header="851" w:footer="992" w:gutter="0"/>
          <w:pgNumType w:fmt="decimal"/>
          <w:cols w:space="425" w:num="1"/>
          <w:docGrid w:type="lines" w:linePitch="312" w:charSpace="0"/>
        </w:sectPr>
      </w:pPr>
    </w:p>
    <w:p>
      <w:pPr>
        <w:spacing w:line="360" w:lineRule="auto"/>
        <w:jc w:val="center"/>
        <w:rPr>
          <w:rFonts w:hint="eastAsia" w:ascii="黑体" w:hAnsi="黑体" w:eastAsia="黑体" w:cs="黑体"/>
          <w:b/>
          <w:bCs/>
          <w:color w:val="000000"/>
          <w:kern w:val="44"/>
          <w:sz w:val="32"/>
          <w:szCs w:val="32"/>
        </w:rPr>
      </w:pPr>
      <w:r>
        <w:rPr>
          <w:rFonts w:hint="eastAsia" w:ascii="黑体" w:hAnsi="黑体" w:eastAsia="黑体" w:cs="黑体"/>
          <w:b/>
          <w:bCs/>
          <w:color w:val="000000"/>
          <w:kern w:val="44"/>
          <w:sz w:val="32"/>
          <w:szCs w:val="32"/>
        </w:rPr>
        <w:t>第二章  竞争性谈判须知</w:t>
      </w:r>
      <w:bookmarkEnd w:id="0"/>
      <w:bookmarkEnd w:id="1"/>
      <w:bookmarkEnd w:id="2"/>
      <w:bookmarkEnd w:id="3"/>
      <w:bookmarkEnd w:id="4"/>
      <w:bookmarkEnd w:id="5"/>
      <w:bookmarkEnd w:id="6"/>
    </w:p>
    <w:p>
      <w:pPr>
        <w:spacing w:line="360" w:lineRule="auto"/>
      </w:pP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1.参加竞价活动的供应商法定代表人或其委托代理人须持本人有效身份证原件到场。拒绝列入失信被执行人名单、重大税收违法案件当事人名单、政府采购严重违法失信行为记录名单中的供应商报名参加本项目的采购活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2.报价文件应包含企业法定代表人授权书、法定代表人身份证复印件、被授权人身份证复印件、企业法人营业执照复印件（加盖公章）、国家企业信用信息证明、售后服务承诺书、报价函。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3.报价文件必须密封在一个文件袋中，并用封条加盖密封章密封，且封面必须注明报价单位名称、联系人、联系电话及所投项目名称。</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4.本次采购由采购评比小组负责实施，通过两轮报价，在保证符合采购要求、质量和售后的前提下，经采购评比小组综合评比，采用最低价确定供应商。</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5.报价须小于或等于项目控制价，供应商报价应注明裸车价，如同一个品牌有多个品类的车型应分别进行报价，并包含不少于以下车辆品牌，型号，排量，驱动形式，能源类型/燃料形式，等车辆参数信息，报价清单样式详见附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6.供应商如发现比价过程中存在有失公正或违法违规情况，可及时向公司纪委办公室（电话：0831-5958712）反映。</w:t>
      </w:r>
    </w:p>
    <w:p>
      <w:pPr>
        <w:keepNext w:val="0"/>
        <w:keepLines w:val="0"/>
        <w:pageBreakBefore w:val="0"/>
        <w:widowControl w:val="0"/>
        <w:kinsoku/>
        <w:wordWrap/>
        <w:overflowPunct/>
        <w:topLinePunct w:val="0"/>
        <w:autoSpaceDE/>
        <w:autoSpaceDN/>
        <w:bidi w:val="0"/>
        <w:snapToGrid/>
        <w:spacing w:line="560" w:lineRule="exact"/>
        <w:ind w:firstLine="640" w:firstLineChars="200"/>
        <w:outlineLvl w:val="2"/>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7</w:t>
      </w:r>
      <w:r>
        <w:rPr>
          <w:rFonts w:hint="eastAsia" w:ascii="仿宋_GB2312" w:eastAsia="仿宋_GB2312" w:hAnsiTheme="minorHAnsi" w:cstheme="minorBidi"/>
          <w:kern w:val="2"/>
          <w:sz w:val="32"/>
          <w:szCs w:val="32"/>
          <w:lang w:val="en-US" w:eastAsia="zh-CN" w:bidi="ar-SA"/>
        </w:rPr>
        <w:t>. 竞争性谈判费用</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供应商应自行承担参加竞争性谈判活动的全部费用。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baseline"/>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8</w:t>
      </w:r>
      <w:r>
        <w:rPr>
          <w:rFonts w:hint="eastAsia" w:ascii="仿宋_GB2312" w:eastAsia="仿宋_GB2312" w:hAnsiTheme="minorHAnsi" w:cstheme="minorBidi"/>
          <w:kern w:val="2"/>
          <w:sz w:val="32"/>
          <w:szCs w:val="32"/>
          <w:lang w:val="en-US" w:eastAsia="zh-CN" w:bidi="ar-SA"/>
        </w:rPr>
        <w:t>.竞争性谈判保证金</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ascii="黑体" w:hAnsi="宋体" w:eastAsia="黑体"/>
          <w:b/>
          <w:bCs/>
          <w:color w:val="000000"/>
          <w:sz w:val="32"/>
          <w:szCs w:val="32"/>
        </w:rPr>
      </w:pPr>
      <w:r>
        <w:rPr>
          <w:rFonts w:hint="eastAsia" w:ascii="仿宋_GB2312" w:eastAsia="仿宋_GB2312" w:hAnsiTheme="minorHAnsi" w:cstheme="minorBidi"/>
          <w:kern w:val="2"/>
          <w:sz w:val="32"/>
          <w:szCs w:val="32"/>
          <w:lang w:val="en-US" w:eastAsia="zh-CN" w:bidi="ar-SA"/>
        </w:rPr>
        <w:t>无。</w:t>
      </w:r>
      <w:bookmarkStart w:id="7" w:name="_Toc18869"/>
      <w:bookmarkStart w:id="8" w:name="_Toc1272"/>
    </w:p>
    <w:p>
      <w:pPr>
        <w:tabs>
          <w:tab w:val="left" w:pos="7665"/>
        </w:tabs>
        <w:spacing w:line="360" w:lineRule="auto"/>
        <w:jc w:val="center"/>
        <w:outlineLvl w:val="0"/>
        <w:rPr>
          <w:rFonts w:ascii="黑体" w:hAnsi="宋体" w:eastAsia="黑体"/>
          <w:b/>
          <w:bCs/>
          <w:color w:val="000000"/>
          <w:sz w:val="32"/>
          <w:szCs w:val="32"/>
        </w:rPr>
      </w:pPr>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三</w:t>
      </w:r>
      <w:r>
        <w:rPr>
          <w:rFonts w:hint="eastAsia" w:ascii="黑体" w:hAnsi="宋体" w:eastAsia="黑体"/>
          <w:b/>
          <w:bCs/>
          <w:color w:val="000000"/>
          <w:sz w:val="32"/>
          <w:szCs w:val="32"/>
        </w:rPr>
        <w:t>章  响应文件格式</w:t>
      </w:r>
      <w:bookmarkEnd w:id="7"/>
      <w:bookmarkEnd w:id="8"/>
    </w:p>
    <w:p>
      <w:pPr>
        <w:tabs>
          <w:tab w:val="left" w:pos="7665"/>
        </w:tabs>
        <w:spacing w:line="360" w:lineRule="auto"/>
        <w:jc w:val="center"/>
        <w:rPr>
          <w:rFonts w:ascii="宋体" w:hAnsi="宋体"/>
          <w:bCs/>
          <w:color w:val="000000"/>
          <w:sz w:val="24"/>
        </w:rPr>
      </w:pPr>
    </w:p>
    <w:p>
      <w:pPr>
        <w:tabs>
          <w:tab w:val="left" w:pos="3440"/>
        </w:tabs>
        <w:spacing w:line="360" w:lineRule="auto"/>
        <w:jc w:val="center"/>
        <w:rPr>
          <w:rFonts w:eastAsia="华文中宋"/>
          <w:spacing w:val="-1"/>
          <w:sz w:val="32"/>
          <w:szCs w:val="32"/>
        </w:rPr>
      </w:pPr>
      <w:r>
        <w:rPr>
          <w:rFonts w:hint="eastAsia" w:eastAsia="华文中宋"/>
          <w:spacing w:val="-1"/>
          <w:sz w:val="32"/>
          <w:szCs w:val="32"/>
        </w:rPr>
        <w:t>四川省向家坝灌区建设开发有限责任公司</w:t>
      </w:r>
    </w:p>
    <w:p>
      <w:pPr>
        <w:tabs>
          <w:tab w:val="left" w:pos="3440"/>
        </w:tabs>
        <w:spacing w:line="360" w:lineRule="auto"/>
        <w:jc w:val="center"/>
        <w:rPr>
          <w:rFonts w:eastAsia="华文中宋"/>
          <w:sz w:val="32"/>
          <w:szCs w:val="32"/>
        </w:rPr>
      </w:pPr>
      <w:r>
        <w:rPr>
          <w:rFonts w:hint="eastAsia" w:eastAsia="华文中宋"/>
          <w:spacing w:val="-1"/>
          <w:sz w:val="32"/>
          <w:szCs w:val="32"/>
          <w:lang w:val="en-US" w:eastAsia="zh-CN"/>
        </w:rPr>
        <w:t>车辆购置</w:t>
      </w:r>
      <w:r>
        <w:rPr>
          <w:rFonts w:eastAsia="华文中宋"/>
          <w:spacing w:val="-1"/>
          <w:sz w:val="32"/>
          <w:szCs w:val="32"/>
        </w:rPr>
        <w:t>项目</w:t>
      </w:r>
    </w:p>
    <w:p>
      <w:pPr>
        <w:spacing w:line="360" w:lineRule="auto"/>
        <w:ind w:firstLine="400" w:firstLineChars="200"/>
        <w:jc w:val="center"/>
        <w:rPr>
          <w:sz w:val="20"/>
          <w:szCs w:val="20"/>
        </w:rPr>
      </w:pP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pPr>
        <w:spacing w:line="360" w:lineRule="auto"/>
        <w:jc w:val="center"/>
        <w:rPr>
          <w:color w:val="000000"/>
          <w:kern w:val="0"/>
          <w:sz w:val="24"/>
        </w:rPr>
      </w:pPr>
    </w:p>
    <w:p>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pPr>
        <w:spacing w:line="360" w:lineRule="auto"/>
        <w:ind w:firstLine="460" w:firstLineChars="200"/>
        <w:rPr>
          <w:color w:val="000000"/>
          <w:kern w:val="0"/>
          <w:sz w:val="23"/>
        </w:rPr>
      </w:pPr>
    </w:p>
    <w:p>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pPr>
        <w:spacing w:line="360" w:lineRule="auto"/>
        <w:ind w:firstLine="480" w:firstLineChars="200"/>
        <w:rPr>
          <w:rFonts w:hint="eastAsia" w:ascii="宋体" w:hAnsi="宋体" w:cs="宋体" w:eastAsiaTheme="minorEastAsia"/>
          <w:color w:val="000000"/>
          <w:sz w:val="24"/>
          <w:lang w:eastAsia="zh-CN"/>
        </w:rPr>
      </w:pPr>
      <w:r>
        <w:rPr>
          <w:rFonts w:hint="eastAsia" w:ascii="宋体" w:hAnsi="宋体" w:cs="宋体"/>
          <w:color w:val="000000"/>
          <w:sz w:val="24"/>
        </w:rPr>
        <w:t>我方全面研究了“</w:t>
      </w:r>
      <w:r>
        <w:rPr>
          <w:rFonts w:hint="eastAsia" w:ascii="宋体" w:hAnsi="宋体" w:cs="宋体"/>
          <w:snapToGrid w:val="0"/>
          <w:kern w:val="0"/>
          <w:sz w:val="24"/>
          <w:szCs w:val="20"/>
          <w:u w:val="single"/>
        </w:rPr>
        <w:t>四川省向家坝灌区建设开发有限责任公司</w:t>
      </w:r>
      <w:r>
        <w:rPr>
          <w:rFonts w:hint="eastAsia" w:ascii="宋体" w:hAnsi="宋体" w:cs="宋体"/>
          <w:snapToGrid w:val="0"/>
          <w:kern w:val="0"/>
          <w:sz w:val="24"/>
          <w:szCs w:val="20"/>
          <w:u w:val="single"/>
          <w:lang w:val="en-US" w:eastAsia="zh-CN"/>
        </w:rPr>
        <w:t>车辆购置</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w:t>
      </w:r>
      <w:r>
        <w:rPr>
          <w:rFonts w:hint="eastAsia" w:ascii="宋体" w:hAnsi="宋体" w:cs="宋体"/>
          <w:bCs/>
          <w:color w:val="000000"/>
          <w:sz w:val="24"/>
          <w:lang w:val="en-US" w:eastAsia="zh-CN"/>
        </w:rPr>
        <w:t>车辆</w:t>
      </w:r>
      <w:r>
        <w:rPr>
          <w:rFonts w:hint="eastAsia" w:ascii="宋体" w:hAnsi="宋体" w:cs="宋体"/>
          <w:bCs/>
          <w:color w:val="000000"/>
          <w:sz w:val="24"/>
        </w:rPr>
        <w:t>，报价</w:t>
      </w:r>
      <w:r>
        <w:rPr>
          <w:rFonts w:hint="eastAsia" w:ascii="宋体" w:hAnsi="宋体" w:cs="宋体"/>
          <w:bCs/>
          <w:color w:val="000000"/>
          <w:sz w:val="24"/>
          <w:lang w:val="en-US" w:eastAsia="zh-CN"/>
        </w:rPr>
        <w:t>如下：</w:t>
      </w:r>
    </w:p>
    <w:tbl>
      <w:tblPr>
        <w:tblStyle w:val="17"/>
        <w:tblW w:w="10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010"/>
        <w:gridCol w:w="801"/>
        <w:gridCol w:w="1095"/>
        <w:gridCol w:w="795"/>
        <w:gridCol w:w="900"/>
        <w:gridCol w:w="810"/>
        <w:gridCol w:w="1380"/>
        <w:gridCol w:w="1290"/>
        <w:gridCol w:w="960"/>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00" w:type="dxa"/>
            <w:vMerge w:val="restart"/>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eastAsia="zh-CN"/>
              </w:rPr>
              <w:t>序号</w:t>
            </w:r>
          </w:p>
        </w:tc>
        <w:tc>
          <w:tcPr>
            <w:tcW w:w="290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报价（裸车）</w:t>
            </w:r>
          </w:p>
        </w:tc>
        <w:tc>
          <w:tcPr>
            <w:tcW w:w="795"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品牌</w:t>
            </w:r>
          </w:p>
        </w:tc>
        <w:tc>
          <w:tcPr>
            <w:tcW w:w="90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型号</w:t>
            </w:r>
          </w:p>
        </w:tc>
        <w:tc>
          <w:tcPr>
            <w:tcW w:w="81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排</w:t>
            </w:r>
            <w:r>
              <w:rPr>
                <w:rFonts w:hint="eastAsia" w:ascii="方正黑体简体" w:hAnsi="方正黑体简体" w:eastAsia="方正黑体简体" w:cs="宋体"/>
                <w:sz w:val="24"/>
                <w:szCs w:val="24"/>
                <w:lang w:eastAsia="zh-CN"/>
              </w:rPr>
              <w:t>量</w:t>
            </w:r>
          </w:p>
        </w:tc>
        <w:tc>
          <w:tcPr>
            <w:tcW w:w="138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驱动形式（双电机）</w:t>
            </w:r>
          </w:p>
        </w:tc>
        <w:tc>
          <w:tcPr>
            <w:tcW w:w="129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_GB2312" w:hAnsi="仿宋_GB2312" w:eastAsia="仿宋_GB2312" w:cs="仿宋_GB2312"/>
                <w:sz w:val="24"/>
                <w:szCs w:val="24"/>
                <w:lang w:val="en-US" w:eastAsia="zh-CN"/>
              </w:rPr>
            </w:pPr>
            <w:r>
              <w:rPr>
                <w:rFonts w:hint="default" w:ascii="方正黑体简体" w:hAnsi="方正黑体简体" w:eastAsia="方正黑体简体" w:cs="宋体"/>
                <w:sz w:val="24"/>
                <w:szCs w:val="24"/>
                <w:lang w:val="en-US" w:eastAsia="zh-CN"/>
              </w:rPr>
              <w:t>能源类型/燃料形式</w:t>
            </w:r>
          </w:p>
        </w:tc>
        <w:tc>
          <w:tcPr>
            <w:tcW w:w="96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p>
            <w:pPr>
              <w:jc w:val="center"/>
              <w:rPr>
                <w:rFonts w:hint="default" w:ascii="仿宋_GB2312" w:hAnsi="仿宋_GB2312" w:eastAsia="仿宋_GB2312" w:cs="仿宋_GB2312"/>
                <w:sz w:val="24"/>
                <w:szCs w:val="24"/>
                <w:lang w:val="en-US" w:eastAsia="zh-CN"/>
              </w:rPr>
            </w:pPr>
          </w:p>
        </w:tc>
        <w:tc>
          <w:tcPr>
            <w:tcW w:w="77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400" w:type="dxa"/>
            <w:vMerge w:val="continue"/>
            <w:vAlign w:val="center"/>
          </w:tcPr>
          <w:p>
            <w:pPr>
              <w:jc w:val="center"/>
              <w:rPr>
                <w:rFonts w:hint="eastAsia" w:ascii="仿宋_GB2312" w:hAnsi="仿宋_GB2312" w:eastAsia="仿宋_GB2312" w:cs="仿宋_GB2312"/>
                <w:sz w:val="24"/>
                <w:szCs w:val="24"/>
                <w:lang w:val="en-US" w:eastAsia="zh-CN"/>
              </w:rPr>
            </w:pP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数量（辆）</w:t>
            </w:r>
          </w:p>
        </w:tc>
        <w:tc>
          <w:tcPr>
            <w:tcW w:w="80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单价</w:t>
            </w:r>
          </w:p>
        </w:tc>
        <w:tc>
          <w:tcPr>
            <w:tcW w:w="1095" w:type="dxa"/>
            <w:vAlign w:val="center"/>
          </w:tcPr>
          <w:p>
            <w:pPr>
              <w:jc w:val="center"/>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总价</w:t>
            </w:r>
          </w:p>
        </w:tc>
        <w:tc>
          <w:tcPr>
            <w:tcW w:w="795" w:type="dxa"/>
            <w:vMerge w:val="continue"/>
            <w:vAlign w:val="center"/>
          </w:tcPr>
          <w:p>
            <w:pPr>
              <w:jc w:val="center"/>
              <w:rPr>
                <w:rFonts w:hint="default" w:ascii="仿宋_GB2312" w:hAnsi="仿宋_GB2312" w:eastAsia="仿宋_GB2312" w:cs="仿宋_GB2312"/>
                <w:sz w:val="24"/>
                <w:szCs w:val="24"/>
                <w:lang w:val="en-US" w:eastAsia="zh-CN"/>
              </w:rPr>
            </w:pPr>
          </w:p>
        </w:tc>
        <w:tc>
          <w:tcPr>
            <w:tcW w:w="900" w:type="dxa"/>
            <w:vMerge w:val="continue"/>
            <w:vAlign w:val="center"/>
          </w:tcPr>
          <w:p>
            <w:pPr>
              <w:jc w:val="center"/>
              <w:rPr>
                <w:rFonts w:hint="eastAsia" w:ascii="仿宋_GB2312" w:hAnsi="仿宋_GB2312" w:eastAsia="仿宋_GB2312" w:cs="仿宋_GB2312"/>
                <w:sz w:val="24"/>
                <w:szCs w:val="24"/>
                <w:lang w:val="en-US" w:eastAsia="zh-CN"/>
              </w:rPr>
            </w:pPr>
          </w:p>
        </w:tc>
        <w:tc>
          <w:tcPr>
            <w:tcW w:w="810" w:type="dxa"/>
            <w:vMerge w:val="continue"/>
            <w:vAlign w:val="center"/>
          </w:tcPr>
          <w:p>
            <w:pPr>
              <w:jc w:val="center"/>
              <w:rPr>
                <w:rFonts w:hint="eastAsia" w:ascii="仿宋_GB2312" w:hAnsi="仿宋_GB2312" w:eastAsia="仿宋_GB2312" w:cs="仿宋_GB2312"/>
                <w:sz w:val="24"/>
                <w:szCs w:val="24"/>
                <w:lang w:val="en-US" w:eastAsia="zh-CN"/>
              </w:rPr>
            </w:pPr>
          </w:p>
        </w:tc>
        <w:tc>
          <w:tcPr>
            <w:tcW w:w="1380" w:type="dxa"/>
            <w:vMerge w:val="continue"/>
            <w:vAlign w:val="center"/>
          </w:tcPr>
          <w:p>
            <w:pPr>
              <w:jc w:val="center"/>
              <w:rPr>
                <w:rFonts w:hint="eastAsia" w:ascii="仿宋_GB2312" w:hAnsi="仿宋_GB2312" w:eastAsia="仿宋_GB2312" w:cs="仿宋_GB2312"/>
                <w:sz w:val="24"/>
                <w:szCs w:val="24"/>
                <w:lang w:val="en-US" w:eastAsia="zh-CN"/>
              </w:rPr>
            </w:pPr>
          </w:p>
        </w:tc>
        <w:tc>
          <w:tcPr>
            <w:tcW w:w="1290" w:type="dxa"/>
            <w:vMerge w:val="continue"/>
            <w:vAlign w:val="center"/>
          </w:tcPr>
          <w:p>
            <w:pPr>
              <w:jc w:val="center"/>
              <w:rPr>
                <w:rFonts w:hint="default" w:ascii="仿宋_GB2312" w:hAnsi="仿宋_GB2312" w:eastAsia="仿宋_GB2312" w:cs="仿宋_GB2312"/>
                <w:sz w:val="24"/>
                <w:szCs w:val="24"/>
                <w:lang w:val="en-US" w:eastAsia="zh-CN"/>
              </w:rPr>
            </w:pPr>
          </w:p>
        </w:tc>
        <w:tc>
          <w:tcPr>
            <w:tcW w:w="960" w:type="dxa"/>
            <w:vMerge w:val="continue"/>
            <w:vAlign w:val="center"/>
          </w:tcPr>
          <w:p>
            <w:pPr>
              <w:jc w:val="center"/>
              <w:rPr>
                <w:rFonts w:hint="default" w:ascii="仿宋_GB2312" w:hAnsi="仿宋_GB2312" w:eastAsia="仿宋_GB2312" w:cs="仿宋_GB2312"/>
                <w:sz w:val="24"/>
                <w:szCs w:val="24"/>
                <w:lang w:val="en-US" w:eastAsia="zh-CN"/>
              </w:rPr>
            </w:pPr>
          </w:p>
        </w:tc>
        <w:tc>
          <w:tcPr>
            <w:tcW w:w="774" w:type="dxa"/>
            <w:vMerge w:val="continue"/>
            <w:vAlign w:val="top"/>
          </w:tcPr>
          <w:p>
            <w:pPr>
              <w:jc w:val="center"/>
              <w:rPr>
                <w:rFonts w:hint="default"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40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1</w:t>
            </w:r>
          </w:p>
        </w:tc>
        <w:tc>
          <w:tcPr>
            <w:tcW w:w="101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4</w:t>
            </w:r>
          </w:p>
        </w:tc>
        <w:tc>
          <w:tcPr>
            <w:tcW w:w="801"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1095"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795"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90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81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240" w:firstLineChars="100"/>
              <w:jc w:val="both"/>
              <w:textAlignment w:val="auto"/>
              <w:rPr>
                <w:rFonts w:hint="default" w:ascii="仿宋_GB2312" w:hAnsi="仿宋_GB2312" w:eastAsia="仿宋_GB2312" w:cs="仿宋_GB2312"/>
                <w:sz w:val="24"/>
                <w:szCs w:val="24"/>
                <w:lang w:val="en-US" w:eastAsia="zh-CN"/>
              </w:rPr>
            </w:pPr>
          </w:p>
        </w:tc>
        <w:tc>
          <w:tcPr>
            <w:tcW w:w="138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480" w:firstLineChars="200"/>
              <w:jc w:val="both"/>
              <w:textAlignment w:val="auto"/>
              <w:rPr>
                <w:rFonts w:hint="default" w:ascii="仿宋_GB2312" w:hAnsi="仿宋_GB2312" w:eastAsia="仿宋_GB2312" w:cs="仿宋_GB2312"/>
                <w:sz w:val="24"/>
                <w:szCs w:val="24"/>
                <w:lang w:val="en-US" w:eastAsia="zh-CN"/>
              </w:rPr>
            </w:pPr>
          </w:p>
        </w:tc>
        <w:tc>
          <w:tcPr>
            <w:tcW w:w="129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96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仿宋_GB2312" w:hAnsi="仿宋_GB2312" w:eastAsia="仿宋_GB2312" w:cs="仿宋_GB2312"/>
                <w:sz w:val="24"/>
                <w:szCs w:val="24"/>
                <w:lang w:val="en-US" w:eastAsia="zh-CN"/>
              </w:rPr>
            </w:pPr>
          </w:p>
        </w:tc>
        <w:tc>
          <w:tcPr>
            <w:tcW w:w="774" w:type="dxa"/>
            <w:vAlign w:val="top"/>
          </w:tcPr>
          <w:p>
            <w:pPr>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仿宋_GB2312" w:hAnsi="仿宋_GB2312" w:eastAsia="仿宋_GB2312" w:cs="仿宋_GB2312"/>
                <w:sz w:val="24"/>
                <w:szCs w:val="24"/>
                <w:lang w:val="en-US" w:eastAsia="zh-CN"/>
              </w:rPr>
            </w:pPr>
          </w:p>
        </w:tc>
      </w:tr>
    </w:tbl>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pPr>
        <w:spacing w:line="360" w:lineRule="auto"/>
        <w:ind w:firstLine="480" w:firstLineChars="200"/>
        <w:jc w:val="left"/>
        <w:rPr>
          <w:rFonts w:ascii="宋体" w:hAnsi="宋体" w:cs="宋体"/>
          <w:color w:val="000000"/>
          <w:sz w:val="24"/>
        </w:rPr>
      </w:pPr>
    </w:p>
    <w:p>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44"/>
          <w:szCs w:val="20"/>
        </w:rPr>
      </w:pPr>
    </w:p>
    <w:p>
      <w:pPr>
        <w:spacing w:line="360" w:lineRule="auto"/>
        <w:rPr>
          <w:b/>
          <w:color w:val="000000"/>
          <w:sz w:val="44"/>
          <w:szCs w:val="20"/>
        </w:rPr>
      </w:pPr>
    </w:p>
    <w:p>
      <w:pPr>
        <w:spacing w:line="360" w:lineRule="auto"/>
        <w:rPr>
          <w:rFonts w:eastAsia="黑体"/>
          <w:color w:val="000000"/>
          <w:sz w:val="28"/>
          <w:szCs w:val="28"/>
        </w:rPr>
      </w:pPr>
      <w:r>
        <w:rPr>
          <w:rFonts w:eastAsia="黑体"/>
          <w:color w:val="000000"/>
          <w:sz w:val="28"/>
          <w:szCs w:val="28"/>
        </w:rPr>
        <w:br w:type="page"/>
      </w:r>
    </w:p>
    <w:p>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snapToGrid w:val="0"/>
          <w:kern w:val="0"/>
          <w:sz w:val="24"/>
          <w:szCs w:val="20"/>
        </w:rPr>
        <w:t>四川省向家坝灌区建设开发有限责任公司</w:t>
      </w:r>
      <w:r>
        <w:rPr>
          <w:rFonts w:hint="eastAsia" w:ascii="宋体" w:hAnsi="宋体" w:cs="宋体"/>
          <w:snapToGrid w:val="0"/>
          <w:kern w:val="0"/>
          <w:sz w:val="24"/>
          <w:szCs w:val="20"/>
          <w:lang w:val="en-US" w:eastAsia="zh-CN"/>
        </w:rPr>
        <w:t>车辆购置</w:t>
      </w:r>
      <w:r>
        <w:rPr>
          <w:rFonts w:hint="eastAsia" w:ascii="宋体" w:hAnsi="宋体" w:cs="宋体"/>
          <w:color w:val="000000"/>
          <w:sz w:val="24"/>
        </w:rPr>
        <w:t>”项目竞争性谈判报价活动的合法代表，以我方名义全权处理该项目有关竞争性谈判报价、签订合同以及执行合同等一切事宜。</w:t>
      </w:r>
    </w:p>
    <w:p>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pPr>
        <w:spacing w:line="360" w:lineRule="auto"/>
        <w:ind w:firstLine="600" w:firstLineChars="250"/>
        <w:jc w:val="left"/>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pPr>
        <w:spacing w:line="360" w:lineRule="auto"/>
        <w:ind w:firstLine="600" w:firstLineChars="250"/>
        <w:jc w:val="left"/>
        <w:rPr>
          <w:rFonts w:ascii="宋体" w:hAnsi="宋体" w:cs="宋体"/>
          <w:color w:val="000000"/>
          <w:sz w:val="24"/>
        </w:rPr>
      </w:pPr>
    </w:p>
    <w:p>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28"/>
          <w:szCs w:val="20"/>
        </w:rPr>
        <w:sectPr>
          <w:footerReference r:id="rId7" w:type="first"/>
          <w:footerReference r:id="rId6" w:type="default"/>
          <w:pgSz w:w="11907" w:h="16840"/>
          <w:pgMar w:top="1418" w:right="1361" w:bottom="1304" w:left="1361" w:header="851" w:footer="851" w:gutter="0"/>
          <w:pgNumType w:fmt="decimal"/>
          <w:cols w:space="720" w:num="1"/>
          <w:titlePg/>
          <w:docGrid w:linePitch="312" w:charSpace="0"/>
        </w:sectPr>
      </w:pPr>
    </w:p>
    <w:p>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pPr>
        <w:spacing w:line="360" w:lineRule="auto"/>
        <w:ind w:firstLine="420" w:firstLineChars="200"/>
        <w:jc w:val="left"/>
        <w:rPr>
          <w:rFonts w:ascii="宋体" w:hAnsi="宋体" w:cs="宋体"/>
          <w:color w:val="000000"/>
          <w:szCs w:val="21"/>
        </w:rPr>
      </w:pPr>
    </w:p>
    <w:p>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pPr>
        <w:spacing w:line="360" w:lineRule="auto"/>
        <w:jc w:val="center"/>
      </w:pPr>
      <w:bookmarkStart w:id="9" w:name="_bookmark204"/>
      <w:bookmarkEnd w:id="9"/>
      <w:bookmarkStart w:id="10" w:name="_bookmark205"/>
      <w:bookmarkEnd w:id="10"/>
      <w:bookmarkStart w:id="11" w:name="_bookmark206"/>
      <w:bookmarkEnd w:id="11"/>
      <w:r>
        <w:rPr>
          <w:rFonts w:ascii="黑体" w:hAnsi="宋体" w:eastAsia="黑体" w:cs="黑体"/>
          <w:color w:val="000000"/>
          <w:kern w:val="0"/>
          <w:sz w:val="31"/>
          <w:szCs w:val="31"/>
          <w:lang w:bidi="ar"/>
        </w:rPr>
        <w:t>第二轮报价函</w:t>
      </w:r>
    </w:p>
    <w:p>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pPr>
        <w:widowControl/>
        <w:ind w:firstLine="2480" w:firstLineChars="800"/>
        <w:jc w:val="left"/>
        <w:rPr>
          <w:rFonts w:ascii="Times New Roman" w:hAnsi="Times New Roman" w:eastAsia="宋体" w:cs="Times New Roman"/>
          <w:color w:val="000000"/>
          <w:kern w:val="0"/>
          <w:sz w:val="31"/>
          <w:szCs w:val="31"/>
          <w:lang w:bidi="ar"/>
        </w:rPr>
      </w:pPr>
    </w:p>
    <w:p>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lang w:eastAsia="zh-CN"/>
        </w:rPr>
        <w:t>，</w:t>
      </w:r>
      <w:r>
        <w:rPr>
          <w:rFonts w:hint="eastAsia" w:ascii="宋体" w:hAnsi="宋体" w:cs="宋体"/>
          <w:bCs/>
          <w:color w:val="000000"/>
          <w:sz w:val="24"/>
          <w:lang w:val="en-US" w:eastAsia="zh-CN"/>
        </w:rPr>
        <w:t>合计总价</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w:t>
      </w:r>
      <w:r>
        <w:rPr>
          <w:rFonts w:hint="eastAsia" w:ascii="宋体" w:hAnsi="宋体" w:cs="宋体"/>
          <w:color w:val="000000"/>
          <w:sz w:val="24"/>
          <w:lang w:eastAsia="zh-CN"/>
        </w:rPr>
        <w:t>（</w:t>
      </w:r>
      <w:r>
        <w:rPr>
          <w:rFonts w:hint="eastAsia" w:ascii="宋体" w:hAnsi="宋体" w:cs="宋体"/>
          <w:color w:val="000000"/>
          <w:sz w:val="24"/>
          <w:lang w:val="en-US" w:eastAsia="zh-CN"/>
        </w:rPr>
        <w:t>裸车价</w:t>
      </w:r>
      <w:r>
        <w:rPr>
          <w:rFonts w:hint="eastAsia" w:ascii="宋体" w:hAnsi="宋体" w:cs="宋体"/>
          <w:color w:val="000000"/>
          <w:sz w:val="24"/>
          <w:lang w:eastAsia="zh-CN"/>
        </w:rPr>
        <w:t>）</w:t>
      </w:r>
      <w:r>
        <w:rPr>
          <w:rFonts w:hint="eastAsia" w:ascii="宋体" w:hAnsi="宋体" w:cs="宋体"/>
          <w:color w:val="000000"/>
          <w:sz w:val="24"/>
        </w:rPr>
        <w:t>，承担四川省向家坝灌区建设开发有限责任公司</w:t>
      </w:r>
      <w:r>
        <w:rPr>
          <w:rFonts w:hint="eastAsia" w:ascii="宋体" w:hAnsi="宋体" w:cs="宋体"/>
          <w:color w:val="000000"/>
          <w:sz w:val="24"/>
          <w:lang w:val="en-US" w:eastAsia="zh-CN"/>
        </w:rPr>
        <w:t>车辆购置项目</w:t>
      </w:r>
      <w:r>
        <w:rPr>
          <w:rFonts w:hint="eastAsia" w:ascii="宋体" w:hAnsi="宋体" w:cs="宋体"/>
          <w:color w:val="000000"/>
          <w:sz w:val="24"/>
        </w:rPr>
        <w:t xml:space="preserve">，按合同约定和贵方要求完成服务工作。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pPr>
        <w:spacing w:line="360" w:lineRule="auto"/>
        <w:ind w:firstLine="480" w:firstLineChars="200"/>
        <w:rPr>
          <w:rFonts w:ascii="宋体" w:hAnsi="宋体" w:cs="宋体"/>
          <w:color w:val="000000"/>
          <w:sz w:val="24"/>
        </w:rPr>
      </w:pPr>
    </w:p>
    <w:p>
      <w:pPr>
        <w:spacing w:line="360" w:lineRule="auto"/>
      </w:pPr>
    </w:p>
    <w:p>
      <w:pPr>
        <w:tabs>
          <w:tab w:val="left" w:pos="7665"/>
        </w:tabs>
        <w:spacing w:line="360" w:lineRule="auto"/>
        <w:jc w:val="center"/>
        <w:outlineLvl w:val="0"/>
        <w:rPr>
          <w:rFonts w:ascii="宋体" w:hAnsi="宋体" w:eastAsia="宋体" w:cs="Times New Roman"/>
          <w:b/>
          <w:color w:val="000000"/>
          <w:sz w:val="32"/>
        </w:rPr>
      </w:pPr>
      <w:bookmarkStart w:id="12" w:name="_Toc1891"/>
      <w:bookmarkStart w:id="13" w:name="_Toc13288"/>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outlineLvl w:val="0"/>
        <w:rPr>
          <w:rFonts w:ascii="宋体" w:hAnsi="宋体" w:eastAsia="宋体" w:cs="Times New Roman"/>
          <w:b/>
          <w:color w:val="000000"/>
          <w:sz w:val="32"/>
        </w:rPr>
      </w:pPr>
    </w:p>
    <w:p>
      <w:pPr>
        <w:tabs>
          <w:tab w:val="left" w:pos="7665"/>
        </w:tabs>
        <w:spacing w:line="360" w:lineRule="auto"/>
        <w:jc w:val="center"/>
        <w:outlineLvl w:val="0"/>
        <w:rPr>
          <w:rFonts w:hint="eastAsia"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三</w:t>
      </w:r>
      <w:r>
        <w:rPr>
          <w:rFonts w:hint="eastAsia" w:ascii="宋体" w:hAnsi="宋体" w:eastAsia="宋体" w:cs="Times New Roman"/>
          <w:b/>
          <w:color w:val="000000"/>
          <w:sz w:val="32"/>
        </w:rPr>
        <w:t>章  评审方法</w:t>
      </w:r>
      <w:bookmarkEnd w:id="12"/>
      <w:bookmarkEnd w:id="13"/>
    </w:p>
    <w:p>
      <w:pPr>
        <w:spacing w:line="360" w:lineRule="auto"/>
        <w:ind w:firstLine="472" w:firstLineChars="196"/>
        <w:outlineLvl w:val="1"/>
        <w:rPr>
          <w:rFonts w:ascii="宋体" w:hAnsi="宋体" w:eastAsia="宋体"/>
          <w:b/>
          <w:bCs/>
          <w:color w:val="000000"/>
          <w:sz w:val="24"/>
        </w:rPr>
      </w:pP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2.2.4 采购人宣布未通过资格性审查的供应商名单时，应当告知供应商未通过审查的原因。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2.6 推荐成交候选供应商。谈判小组由</w:t>
      </w:r>
      <w:r>
        <w:rPr>
          <w:rFonts w:hint="eastAsia" w:ascii="宋体" w:hAnsi="宋体" w:eastAsia="宋体"/>
          <w:bCs/>
          <w:color w:val="000000"/>
          <w:sz w:val="24"/>
          <w:lang w:val="en-US" w:eastAsia="zh-CN"/>
        </w:rPr>
        <w:t>5</w:t>
      </w:r>
      <w:r>
        <w:rPr>
          <w:rFonts w:hint="eastAsia" w:ascii="宋体" w:hAnsi="宋体" w:eastAsia="宋体"/>
          <w:bCs/>
          <w:color w:val="000000"/>
          <w:sz w:val="24"/>
        </w:rPr>
        <w:t>人组成，谈判小组应当根据报价情况，由低到高顺序推荐 1～3 家成交候选供应商（供应商报价相同的，以供应商抽签方式确定成交候选供应商顺序）。</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3.竞争性谈判纪律及注意事项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rPr>
        <w:t>竞争性谈判</w:t>
      </w:r>
      <w:r>
        <w:rPr>
          <w:rFonts w:hint="eastAsia"/>
          <w:color w:val="000000"/>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pPr>
        <w:spacing w:line="360" w:lineRule="auto"/>
        <w:jc w:val="center"/>
        <w:rPr>
          <w:rFonts w:ascii="宋体" w:hAnsi="宋体" w:eastAsia="宋体" w:cs="Times New Roman"/>
          <w:b/>
          <w:sz w:val="28"/>
          <w:szCs w:val="28"/>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both"/>
        <w:outlineLvl w:val="0"/>
        <w:rPr>
          <w:rFonts w:ascii="宋体" w:hAnsi="宋体"/>
          <w:color w:val="000000"/>
          <w:sz w:val="24"/>
        </w:rPr>
      </w:pPr>
    </w:p>
    <w:sectPr>
      <w:footerReference r:id="rId9" w:type="first"/>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2000000000000000000"/>
    <w:charset w:val="86"/>
    <w:family w:val="auto"/>
    <w:pitch w:val="default"/>
    <w:sig w:usb0="00000000" w:usb1="00000000"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default"/>
        <w:sz w:val="24"/>
        <w:szCs w:val="2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p>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1MDZiM2JkM2Q1YzU5NzljMWQyYzI1MzczODk4ODIifQ=="/>
    <w:docVar w:name="KSO_WPS_MARK_KEY" w:val="3c2914d7-3d97-4254-a487-63b88faf4164"/>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530678A"/>
    <w:rsid w:val="0BB43C70"/>
    <w:rsid w:val="0C0E0644"/>
    <w:rsid w:val="0CCD7911"/>
    <w:rsid w:val="0EE26219"/>
    <w:rsid w:val="10BF2D2E"/>
    <w:rsid w:val="12A51F8D"/>
    <w:rsid w:val="14BA2DE7"/>
    <w:rsid w:val="15C0637B"/>
    <w:rsid w:val="17E9450B"/>
    <w:rsid w:val="19EF054B"/>
    <w:rsid w:val="1CD31A7D"/>
    <w:rsid w:val="1D4F6303"/>
    <w:rsid w:val="1EC957D9"/>
    <w:rsid w:val="1F103045"/>
    <w:rsid w:val="212E7BC9"/>
    <w:rsid w:val="21F04F53"/>
    <w:rsid w:val="22CB406F"/>
    <w:rsid w:val="23AD74CB"/>
    <w:rsid w:val="242A477A"/>
    <w:rsid w:val="279E558F"/>
    <w:rsid w:val="27AA0146"/>
    <w:rsid w:val="2AF22FBB"/>
    <w:rsid w:val="2BFD3C30"/>
    <w:rsid w:val="2C9728C2"/>
    <w:rsid w:val="2CB159FE"/>
    <w:rsid w:val="2EDB3DDE"/>
    <w:rsid w:val="314A3D89"/>
    <w:rsid w:val="33FE4CF2"/>
    <w:rsid w:val="34273B37"/>
    <w:rsid w:val="365A4B8B"/>
    <w:rsid w:val="3BF43410"/>
    <w:rsid w:val="3EA2560D"/>
    <w:rsid w:val="3FED274F"/>
    <w:rsid w:val="40751175"/>
    <w:rsid w:val="45B67FD7"/>
    <w:rsid w:val="461E7BAE"/>
    <w:rsid w:val="4801215B"/>
    <w:rsid w:val="4852092F"/>
    <w:rsid w:val="4893154A"/>
    <w:rsid w:val="4A135052"/>
    <w:rsid w:val="4B451478"/>
    <w:rsid w:val="4DD16BF4"/>
    <w:rsid w:val="50723348"/>
    <w:rsid w:val="50C84C5C"/>
    <w:rsid w:val="50D800D3"/>
    <w:rsid w:val="52402953"/>
    <w:rsid w:val="52514BB8"/>
    <w:rsid w:val="53CB14AA"/>
    <w:rsid w:val="55DA15EF"/>
    <w:rsid w:val="57743907"/>
    <w:rsid w:val="5E382174"/>
    <w:rsid w:val="5F68718E"/>
    <w:rsid w:val="60A8725D"/>
    <w:rsid w:val="641739EA"/>
    <w:rsid w:val="665475C2"/>
    <w:rsid w:val="68870D1C"/>
    <w:rsid w:val="68941A19"/>
    <w:rsid w:val="68E13993"/>
    <w:rsid w:val="6AA456C0"/>
    <w:rsid w:val="6CE43B16"/>
    <w:rsid w:val="6FD26F43"/>
    <w:rsid w:val="74385ABC"/>
    <w:rsid w:val="77B52EB9"/>
    <w:rsid w:val="78314E9D"/>
    <w:rsid w:val="7A606AC9"/>
    <w:rsid w:val="7A8410F8"/>
    <w:rsid w:val="7A963300"/>
    <w:rsid w:val="7E2766A8"/>
    <w:rsid w:val="7E3E2F6D"/>
    <w:rsid w:val="7E7529A7"/>
    <w:rsid w:val="7EB34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4"/>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qFormat/>
    <w:uiPriority w:val="0"/>
    <w:pPr>
      <w:spacing w:before="149"/>
      <w:ind w:left="120"/>
    </w:pPr>
    <w:rPr>
      <w:rFonts w:ascii="仿宋_GB2312" w:hAnsi="仿宋_GB2312" w:eastAsia="仿宋_GB2312" w:cs="仿宋_GB2312"/>
      <w:sz w:val="32"/>
      <w:szCs w:val="32"/>
    </w:rPr>
  </w:style>
  <w:style w:type="paragraph" w:styleId="7">
    <w:name w:val="Body Text Indent"/>
    <w:basedOn w:val="1"/>
    <w:link w:val="35"/>
    <w:qFormat/>
    <w:uiPriority w:val="0"/>
    <w:pPr>
      <w:ind w:firstLine="630"/>
    </w:pPr>
    <w:rPr>
      <w:sz w:val="32"/>
      <w:szCs w:val="20"/>
    </w:rPr>
  </w:style>
  <w:style w:type="paragraph" w:styleId="8">
    <w:name w:val="Plain Text"/>
    <w:basedOn w:val="1"/>
    <w:link w:val="36"/>
    <w:qFormat/>
    <w:uiPriority w:val="0"/>
    <w:pPr>
      <w:autoSpaceDE w:val="0"/>
      <w:autoSpaceDN w:val="0"/>
      <w:adjustRightInd w:val="0"/>
    </w:pPr>
    <w:rPr>
      <w:rFonts w:ascii="宋体" w:hAnsi="Tms Rmn"/>
      <w:kern w:val="0"/>
      <w:szCs w:val="20"/>
    </w:rPr>
  </w:style>
  <w:style w:type="paragraph" w:styleId="9">
    <w:name w:val="Date"/>
    <w:basedOn w:val="1"/>
    <w:next w:val="1"/>
    <w:link w:val="25"/>
    <w:qFormat/>
    <w:uiPriority w:val="0"/>
    <w:pPr>
      <w:ind w:left="100" w:leftChars="2500"/>
    </w:pPr>
  </w:style>
  <w:style w:type="paragraph" w:styleId="10">
    <w:name w:val="Balloon Text"/>
    <w:basedOn w:val="1"/>
    <w:link w:val="27"/>
    <w:qFormat/>
    <w:uiPriority w:val="0"/>
    <w:rPr>
      <w:sz w:val="18"/>
      <w:szCs w:val="18"/>
    </w:rPr>
  </w:style>
  <w:style w:type="paragraph" w:styleId="11">
    <w:name w:val="footer"/>
    <w:basedOn w:val="1"/>
    <w:link w:val="23"/>
    <w:qFormat/>
    <w:uiPriority w:val="99"/>
    <w:pPr>
      <w:tabs>
        <w:tab w:val="center" w:pos="4153"/>
        <w:tab w:val="right" w:pos="8306"/>
      </w:tabs>
      <w:snapToGrid w:val="0"/>
      <w:jc w:val="left"/>
    </w:pPr>
    <w:rPr>
      <w:sz w:val="18"/>
      <w:szCs w:val="18"/>
    </w:rPr>
  </w:style>
  <w:style w:type="paragraph" w:styleId="12">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0"/>
    <w:pPr>
      <w:widowControl/>
      <w:spacing w:after="100" w:line="276" w:lineRule="auto"/>
      <w:ind w:left="220"/>
      <w:jc w:val="left"/>
    </w:pPr>
    <w:rPr>
      <w:kern w:val="0"/>
      <w:sz w:val="22"/>
      <w:szCs w:val="22"/>
    </w:rPr>
  </w:style>
  <w:style w:type="paragraph" w:styleId="15">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rPr>
  </w:style>
  <w:style w:type="character" w:styleId="20">
    <w:name w:val="FollowedHyperlink"/>
    <w:basedOn w:val="18"/>
    <w:qFormat/>
    <w:uiPriority w:val="0"/>
    <w:rPr>
      <w:color w:val="000000"/>
      <w:sz w:val="19"/>
      <w:szCs w:val="19"/>
      <w:u w:val="none"/>
    </w:rPr>
  </w:style>
  <w:style w:type="character" w:styleId="21">
    <w:name w:val="Hyperlink"/>
    <w:basedOn w:val="18"/>
    <w:qFormat/>
    <w:uiPriority w:val="0"/>
    <w:rPr>
      <w:color w:val="000000"/>
      <w:sz w:val="19"/>
      <w:szCs w:val="19"/>
      <w:u w:val="none"/>
    </w:rPr>
  </w:style>
  <w:style w:type="character" w:customStyle="1" w:styleId="22">
    <w:name w:val="页眉 Char"/>
    <w:basedOn w:val="18"/>
    <w:link w:val="12"/>
    <w:qFormat/>
    <w:uiPriority w:val="0"/>
    <w:rPr>
      <w:kern w:val="2"/>
      <w:sz w:val="18"/>
      <w:szCs w:val="18"/>
    </w:rPr>
  </w:style>
  <w:style w:type="character" w:customStyle="1" w:styleId="23">
    <w:name w:val="页脚 Char"/>
    <w:basedOn w:val="18"/>
    <w:link w:val="11"/>
    <w:qFormat/>
    <w:uiPriority w:val="99"/>
    <w:rPr>
      <w:kern w:val="2"/>
      <w:sz w:val="18"/>
      <w:szCs w:val="18"/>
    </w:rPr>
  </w:style>
  <w:style w:type="paragraph" w:customStyle="1" w:styleId="24">
    <w:name w:val="列出段落1"/>
    <w:basedOn w:val="1"/>
    <w:unhideWhenUsed/>
    <w:qFormat/>
    <w:uiPriority w:val="99"/>
    <w:pPr>
      <w:ind w:firstLine="420" w:firstLineChars="200"/>
    </w:pPr>
  </w:style>
  <w:style w:type="character" w:customStyle="1" w:styleId="25">
    <w:name w:val="日期 Char"/>
    <w:basedOn w:val="18"/>
    <w:link w:val="9"/>
    <w:qFormat/>
    <w:uiPriority w:val="0"/>
    <w:rPr>
      <w:kern w:val="2"/>
      <w:sz w:val="21"/>
      <w:szCs w:val="24"/>
    </w:rPr>
  </w:style>
  <w:style w:type="table" w:customStyle="1" w:styleId="26">
    <w:name w:val="网格型1"/>
    <w:basedOn w:val="1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7">
    <w:name w:val="批注框文本 Char"/>
    <w:basedOn w:val="18"/>
    <w:link w:val="10"/>
    <w:qFormat/>
    <w:uiPriority w:val="0"/>
    <w:rPr>
      <w:kern w:val="2"/>
      <w:sz w:val="18"/>
      <w:szCs w:val="18"/>
    </w:rPr>
  </w:style>
  <w:style w:type="character" w:customStyle="1" w:styleId="28">
    <w:name w:val="tree-title4"/>
    <w:basedOn w:val="18"/>
    <w:qFormat/>
    <w:uiPriority w:val="0"/>
  </w:style>
  <w:style w:type="character" w:customStyle="1" w:styleId="29">
    <w:name w:val="tree-title5"/>
    <w:basedOn w:val="18"/>
    <w:qFormat/>
    <w:uiPriority w:val="0"/>
    <w:rPr>
      <w:sz w:val="18"/>
      <w:szCs w:val="18"/>
      <w:u w:val="none"/>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1">
    <w:name w:val="标题 1 Char"/>
    <w:basedOn w:val="18"/>
    <w:link w:val="2"/>
    <w:qFormat/>
    <w:uiPriority w:val="0"/>
    <w:rPr>
      <w:rFonts w:asciiTheme="minorHAnsi" w:hAnsiTheme="minorHAnsi" w:eastAsiaTheme="minorEastAsia" w:cstheme="minorBidi"/>
      <w:b/>
      <w:bCs/>
      <w:kern w:val="44"/>
      <w:sz w:val="44"/>
      <w:szCs w:val="44"/>
    </w:rPr>
  </w:style>
  <w:style w:type="paragraph" w:customStyle="1" w:styleId="32">
    <w:name w:val="正文首行缩进两字符"/>
    <w:basedOn w:val="1"/>
    <w:qFormat/>
    <w:uiPriority w:val="0"/>
    <w:pPr>
      <w:spacing w:line="360" w:lineRule="auto"/>
      <w:ind w:firstLine="200" w:firstLineChars="200"/>
    </w:pPr>
  </w:style>
  <w:style w:type="character" w:customStyle="1" w:styleId="33">
    <w:name w:val="标题 2 Char"/>
    <w:basedOn w:val="18"/>
    <w:link w:val="3"/>
    <w:qFormat/>
    <w:uiPriority w:val="0"/>
    <w:rPr>
      <w:rFonts w:ascii="Arial" w:hAnsi="Arial" w:eastAsia="黑体" w:cstheme="minorBidi"/>
      <w:b/>
      <w:bCs/>
      <w:kern w:val="2"/>
      <w:sz w:val="32"/>
      <w:szCs w:val="32"/>
    </w:rPr>
  </w:style>
  <w:style w:type="character" w:customStyle="1" w:styleId="34">
    <w:name w:val="标题 3 Char"/>
    <w:basedOn w:val="18"/>
    <w:link w:val="4"/>
    <w:qFormat/>
    <w:uiPriority w:val="0"/>
    <w:rPr>
      <w:rFonts w:asciiTheme="minorHAnsi" w:hAnsiTheme="minorHAnsi" w:eastAsiaTheme="minorEastAsia" w:cstheme="minorBidi"/>
      <w:b/>
      <w:bCs/>
      <w:kern w:val="2"/>
      <w:sz w:val="32"/>
      <w:szCs w:val="32"/>
    </w:rPr>
  </w:style>
  <w:style w:type="character" w:customStyle="1" w:styleId="35">
    <w:name w:val="正文文本缩进 Char"/>
    <w:basedOn w:val="18"/>
    <w:link w:val="7"/>
    <w:qFormat/>
    <w:uiPriority w:val="0"/>
    <w:rPr>
      <w:rFonts w:asciiTheme="minorHAnsi" w:hAnsiTheme="minorHAnsi" w:eastAsiaTheme="minorEastAsia" w:cstheme="minorBidi"/>
      <w:kern w:val="2"/>
      <w:sz w:val="32"/>
    </w:rPr>
  </w:style>
  <w:style w:type="character" w:customStyle="1" w:styleId="36">
    <w:name w:val="纯文本 Char"/>
    <w:basedOn w:val="18"/>
    <w:link w:val="8"/>
    <w:qFormat/>
    <w:uiPriority w:val="0"/>
    <w:rPr>
      <w:rFonts w:ascii="宋体" w:hAnsi="Tms Rmn" w:eastAsiaTheme="minorEastAsia" w:cstheme="minorBidi"/>
      <w:sz w:val="21"/>
    </w:rPr>
  </w:style>
  <w:style w:type="paragraph" w:customStyle="1" w:styleId="3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
    <w:name w:val="样式 首行缩进:  2 字符"/>
    <w:basedOn w:val="1"/>
    <w:qFormat/>
    <w:uiPriority w:val="0"/>
    <w:pPr>
      <w:spacing w:line="400" w:lineRule="exact"/>
      <w:ind w:firstLine="200" w:firstLineChars="200"/>
    </w:pPr>
    <w:rPr>
      <w:rFonts w:cs="宋体"/>
      <w:sz w:val="24"/>
    </w:rPr>
  </w:style>
  <w:style w:type="paragraph" w:styleId="40">
    <w:name w:val="List Paragraph"/>
    <w:basedOn w:val="1"/>
    <w:unhideWhenUsed/>
    <w:qFormat/>
    <w:uiPriority w:val="99"/>
    <w:pPr>
      <w:ind w:firstLine="420" w:firstLineChars="200"/>
    </w:pPr>
  </w:style>
  <w:style w:type="paragraph" w:customStyle="1" w:styleId="4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E2EB16-4A5B-4018-A98E-4DE745BB11FB}">
  <ds:schemaRefs/>
</ds:datastoreItem>
</file>

<file path=docProps/app.xml><?xml version="1.0" encoding="utf-8"?>
<Properties xmlns="http://schemas.openxmlformats.org/officeDocument/2006/extended-properties" xmlns:vt="http://schemas.openxmlformats.org/officeDocument/2006/docPropsVTypes">
  <Template>Normal</Template>
  <Pages>14</Pages>
  <Words>5186</Words>
  <Characters>5415</Characters>
  <Lines>154</Lines>
  <Paragraphs>43</Paragraphs>
  <TotalTime>70</TotalTime>
  <ScaleCrop>false</ScaleCrop>
  <LinksUpToDate>false</LinksUpToDate>
  <CharactersWithSpaces>5742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2022-05-20T02:48:00Z</dcterms:created>
  <dc:creator>x2</dc:creator>
  <cp:lastModifiedBy>李昂</cp:lastModifiedBy>
  <cp:lastPrinted>2024-02-27T06:22:00Z</cp:lastPrinted>
  <dcterms:modified xsi:type="dcterms:W3CDTF">2024-03-07T06:52:05Z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C383954C06104895983E9DE2C7318CAC</vt:lpwstr>
  </property>
</Properties>
</file>